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and Vendor Risk Management Policy</w:t>
      </w:r>
    </w:p>
    <w:p>
      <w:r>
        <w:t>Document ID: POL-VRM-2025-014</w:t>
      </w:r>
    </w:p>
    <w:p>
      <w:r>
        <w:t>Effective Date: March 1, 2025</w:t>
      </w:r>
    </w:p>
    <w:p>
      <w:pPr>
        <w:pStyle w:val="Heading1"/>
      </w:pPr>
      <w:r>
        <w:t>1. Scope and Applicability</w:t>
      </w:r>
    </w:p>
    <w:p>
      <w:r>
        <w:t>This policy governs the assessment, onboarding, and ongoing monitoring of all third-party vendors providing services to the Bank. Critical vendors (those supporting core banking, payment systems, cybersecurity, or cloud infrastructure) are subject to enhanced requirements. The Procurement Department manages the vendor lifecycle in coordination with the IT Security Department and the Operational Risk Unit.</w:t>
      </w:r>
    </w:p>
    <w:p>
      <w:pPr>
        <w:pStyle w:val="Heading1"/>
      </w:pPr>
      <w:r>
        <w:t>2. Vendor Risk Assessment</w:t>
      </w:r>
    </w:p>
    <w:p>
      <w:pPr>
        <w:pStyle w:val="Heading2"/>
      </w:pPr>
      <w:r>
        <w:t>2.1 Due Diligence Requirements</w:t>
      </w:r>
    </w:p>
    <w:p>
      <w:r>
        <w:t>Pre-onboarding due diligence includes: financial stability review, information security assessment (alignment with the Bank's IT Security Policy, Section 2), business continuity capability verification, regulatory compliance check, and reference verification. For vendors processing customer data, a Data Processing Impact Assessment (DPIA) must be completed per the Data Governance Policy, Section 6.</w:t>
      </w:r>
    </w:p>
    <w:p>
      <w:pPr>
        <w:pStyle w:val="Heading2"/>
      </w:pPr>
      <w:r>
        <w:t>2.2 Risk Tiering</w:t>
      </w:r>
    </w:p>
    <w:p>
      <w:r>
        <w:t>Vendors are classified into three tiers: Tier-1 (Critical) — vendors whose failure would cause significant operational disruption, Tier-2 (Important) — vendors supporting significant business functions, Tier-3 (Standard) — all other vendors. The Business Continuity Management (BCM) Policy Section 4 defines the recovery requirements for each vendor tier.</w:t>
      </w:r>
    </w:p>
    <w:p>
      <w:pPr>
        <w:pStyle w:val="Heading1"/>
      </w:pPr>
      <w:r>
        <w:t>3. Contract Requirements</w:t>
      </w:r>
    </w:p>
    <w:p>
      <w:r>
        <w:t>All vendor contracts must include: service level agreements (SLAs), data protection clauses (per Data Governance Policy), right-to-audit clauses, incident notification requirements (within 24 hours for security incidents per IT Security Policy Section 4.2), business continuity provisions, and exit/transition clauses. Legal Department approval is required for all Tier-1 vendor contracts.</w:t>
      </w:r>
    </w:p>
    <w:p>
      <w:pPr>
        <w:pStyle w:val="Heading1"/>
      </w:pPr>
      <w:r>
        <w:t>4. Ongoing Monitoring</w:t>
      </w:r>
    </w:p>
    <w:p>
      <w:r>
        <w:t>Tier-1 vendors are reviewed semi-annually, Tier-2 annually, and Tier-3 biennially. Reviews assess: SLA performance, incident history, financial health, and control environment changes. The Vendor Risk Dashboard is reported to the Operational Risk Committee (ORC) quarterly. Concentration risk (over-reliance on single vendors) is monitored by the ORC with thresholds defined in the Operational Risk Framework, Section 6.</w:t>
      </w:r>
    </w:p>
    <w:p>
      <w:pPr>
        <w:pStyle w:val="Heading1"/>
      </w:pPr>
      <w:r>
        <w:t>5. Cloud Service Providers</w:t>
      </w:r>
    </w:p>
    <w:p>
      <w:r>
        <w:t>Cloud service providers are automatically classified as Tier-1 and require additional approvals: (a) CRO sign-off on risk assessment, (b) CTO sign-off on technical architecture, (c) CCO confirmation of regulatory compliance (Central Bank cloud computing circular 2023/IT/003), (d) Board IT Committee approval for any workloads involving customer data or core banking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