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1: Baseline Population Characteristics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Survey-weighted baseline characteristics of Bangladeshi children aged 12–59 months, stratified by joint blood lead and diarrheal morbidity exposure (N = 10,507)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6"/>
        <w:gridCol w:w="1512"/>
        <w:gridCol w:w="1512"/>
        <w:gridCol w:w="1512"/>
        <w:gridCol w:w="1512"/>
        <w:gridCol w:w="151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Total Cohort (N=10,507)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Low BLL, No Diarrhea (00)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Low BLL + Diarrhea (01)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High BLL, No Diarrhea (10)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High BLL + Diarrhea (11)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2F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Continuous Measures, Mean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2F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2F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2F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2F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2F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2F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Child Age (months)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37.16 (13.25)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38.29 (13.10)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33.33 (13.52)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37.14 (13.17)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30.81 (13.16)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Blood Lead Level (µg/dL)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5.22 (3.78)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2.59 (0.63)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2.63 (0.57)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6.55 (4.05)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6.57 (3.49)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Hemoglobin (g/dL)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10.99 (1.15)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10.97 (1.09)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10.97 (1.04)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11.02 (1.18)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10.78 (1.31)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Soil Lead Level (mg/kg)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23.55 (16.71)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21.31 (9.28)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22.77 (8.59)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24.60 (18.88)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25.67 (25.52)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Height-for-Age z-score (HAZ)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-1.31 (1.14)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-1.25 (1.11)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-1.26 (1.21)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-1.34 (1.14)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-1.39 (1.30)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Weight-for-Height z-score (WHZ)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-0.95 (1.05)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-0.97 (1.01)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-0.92 (1.04)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-0.94 (1.07)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-1.07 (1.11)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Weight-for-Age z-score (WAZ)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-1.38 (1.03)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-1.36 (1.01)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-1.32 (1.06)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-1.39 (1.03)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-1.49 (1.16)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Categorical Characteristics,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Child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5507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1938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3190 (54.2%)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5000 (47.5%)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2011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2697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Mother's 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Pre-primary or 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738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440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2029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640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1248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5722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2184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3166 (54.2%)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247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2015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871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1031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Not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 Head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Pre-primary or 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2669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1019 (26.5%)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1486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3233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1136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1873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3140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1161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1775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1465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633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753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Wealth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Poorest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2796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1128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1467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Second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2479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1012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1311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2118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810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1174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Fourth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1838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638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1092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Richest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1276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843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Place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2613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806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1642 (32.8%)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7894 (70.7%)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3143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4245 (67.2%)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320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Administrative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Barishal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408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579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Chattogram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2103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573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1339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Dhaka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1767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1351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Khulna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1600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Mymensingh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644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344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Rajshahi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1137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608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468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Rangpur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1505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764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660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Sylhet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671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Drinking Water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Unimproved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5959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2575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(69.8%)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3006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Improved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4548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1374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2881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Sanitation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Unimproved 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1758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653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986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Improved 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8749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3296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4901 (83.5%)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 (81.9%)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Handwashing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Limited/No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4931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1872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2724 (44.0%)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 (45.0%)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Basic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5576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2077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3163 (56.0%)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 (55.0%)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Wall Paint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Intact Paint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3064 (33.2%)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1079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(31.9%)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1812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Peeling/Damaged Paint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7443 (66.8%)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2870 (71.0%)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 (68.1%)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4075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(66.2%)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Stunted (HAZ &lt; -2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2719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934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1595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Wasted (WHZ &lt; -2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1507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535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858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Underweight (WAZ &lt; -2 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2807 (26.6%)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1009 (25.8%)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(27.4%)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1595 (26.5%)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(32.8%)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Values are design-weighted Mean (Standard Deviation) for continuous measures and unweighted count n (complex survey-weighted percentage %) for categorical measures. Percentages and means account for the multi-stage cluster sampling design and child normalized sampling weights. p-values compare distributions across the four joint exposure categories using design-adjusted Wald F-tests for continuous measures and Rao-Scott second-order design-adjusted chi-square tests for categorical measures. Blood lead level cutoff is defined according to the CDC pediatric Blood Lead Reference Value (3.5 µg/dL).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2026-10-07T23:43:49Z</dcterms:modified>
  <cp:category/>
</cp:coreProperties>
</file>