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2: Continuous Growth Faltering &amp; Multiplicative Interaction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2. Multivariable survey-weighted linear regression evaluating blood lead levels, diarrheal morbidity, and continuous growth faltering (z-scores) among Bangladeshi children aged 12–59 months.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08"/>
        <w:gridCol w:w="1584"/>
        <w:gridCol w:w="1584"/>
        <w:gridCol w:w="1584"/>
        <w:gridCol w:w="1584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Model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Growth Metric &amp; Model Parameter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Adjusted 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Height-for-Age (HAZ)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Model 1: Primary Adjustment (N=10,507)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Blood lead level (log2 ug/dL)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(-0.132, -0.059)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Recent diarrhea (past 2 weeks)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(-0.457, 0.280)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0.637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Interaction (BLL x Diarrhea)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(-0.126, 0.216)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0.609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Height-for-Age (HAZ)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Model 2: Trace Metals Robustness (N=10,422)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Blood lead level (log2 ug/dL)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(-0.133, -0.058)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Recent diarrhea (past 2 weeks)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(-0.392, 0.355)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0.923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Interaction (BLL x Diarrhea)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(-0.167, 0.180)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0.942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Weight-for-Height (WHZ)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Model 1: Primary Adjustment (N=10,507)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Blood lead level (log2 ug/dL)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(-0.060, 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0.119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Recent diarrhea (past 2 weeks)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(-0.222, 0.431)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0.531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Interaction (BLL x Diarrhea)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(-0.243, 0.067)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0.263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Weight-for-Height (WHZ)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Model 2: Trace Metals Robustness (N=10,422)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Blood lead level (log2 ug/dL)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(-0.071, -0.001)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0.042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Recent diarrhea (past 2 weeks)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(-0.162, 0.486)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0.326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Interaction (BLL x Diarrhea)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(-0.271, 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0.111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Weight-for-Age (WAZ)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Model 1: Primary Adjustment (N=10,507)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Blood lead level (log2 ug/dL)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(-0.104, -0.040)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Recent diarrhea (past 2 weeks)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(-0.319, 0.364)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0.897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Interaction (BLL x Diarrhea)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(-0.196, 0.122)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0.649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Weight-for-Age (WAZ)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Model 2: Trace Metals Robustness (N=10,422)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Blood lead level (log2 ug/dL)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(-0.111, -0.045)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Recent diarrhea (past 2 weeks)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(-0.235, 0.443)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0.548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Interaction (BLL x Diarrhea)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-0.082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0.078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(-0.236, 0.072)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0.295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Beta coefficients (Beta) represent adjusted change in standard deviation scores per two-fold increase in blood lead level (log2-transformed), caregiver-reported diarrhea in the preceding two weeks, and their continuous multiplicative interaction term. Model 1 (N = 10,507) adjusts for child age, child sex, venous hemoglobin, maternal education, household head education, wealth quintile, urban/rural residence, administrative division, peeling wall paint, drinking water source, sanitation facility type, and basic handwashing facilities. Model 2 (N = 10,423) additionally adjusts for environmental co-pollutants: soil lead (log2 mg/kg), venous blood cadmium (log2 ug/L), and venous blood arsenic (log2 ug/L). All models account for complex survey strata, primary sampling units, and normalized child blood weights.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2026-10-07T23:43:54Z</dcterms:modified>
  <cp:category/>
</cp:coreProperties>
</file>