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3: Prevalence Ratios (aPR)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Survey-weighted adjusted prevalence ratios (aPRs) evaluating joint blood lead and diarrheal morbidity on clinical malnutrition (N = 10,507)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4"/>
        <w:gridCol w:w="1872"/>
        <w:gridCol w:w="1872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Clinical Malnutrition Endpoint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Reference (00)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Low BLL, No Diarrhea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aPR (01)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Low BLL + Diarrhea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aPR (10)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High BLL, No Diarrhea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aPR (11)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High BLL + Diarrhea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Stunting (HAZ &lt; -2 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(0.79, 1.34)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(1.02, 1.21)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(0.94, 1.37)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Wasting (WHZ &lt; -2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(0.91,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(1.02,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 (1.14, 1.95)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Underweight (WAZ &lt; -2 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(Reference)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(0.84, 1.41)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(0.99, 1.18)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(1.07, 1.56)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Elevated blood lead level (High BLL) is dichotomized at &gt;=3.5 ug/dL according to the US CDC Blood Lead Reference Value. Models adjust for child age, sex, hemoglobin, maternal/household head education, wealth quintile, residence, division, wall paint, drinking water, sanitation, and handwashing facilities.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2026-10-07T23:43:56Z</dcterms:modified>
  <cp:category/>
</cp:coreProperties>
</file>