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4: Additive Interaction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Additive-Scale Interaction (Departure from Additivity) between elevated blood lead and recent diarrhea (N = 10,507)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4"/>
        <w:gridCol w:w="2304"/>
        <w:gridCol w:w="2304"/>
        <w:gridCol w:w="2304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Clinical Malnutrition Endpoint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RERI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AP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Synergy Index 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(95%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Stunting (HAZ &lt; -2 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 (-0.34, 0.34)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-0.3% (-30.3%, 29.7%)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(0.08, 12.02)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Wasting (WHZ &lt; -2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(-0.55,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2.3% (-36.5%, 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(0.31, 3.73)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Underweight (WAZ &lt; -2 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 (-0.24, 0.48)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9.4% (-17.6%, 36.5%)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1.71 (0.26, 11.12)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Abbreviations: AP, Attributable Proportion; CI, Confidence Interval; RERI, Relative Excess Risk due to Interaction. Additive parameters were estimated using the delta method. RERI &gt; 0, AP &gt; 0, or S &gt; 1 indicates super-additivity (synergy); RERI = 0, AP = 0, or S = 1 denotes exact additivity.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2026-10-07T23:43:57Z</dcterms:modified>
  <cp:category/>
</cp:coreProperties>
</file>