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Supplementary Table S2: Logistic Regression (aOR) Sensitivity Check</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Supplementary Table S2. Survey-weighted multivariable logistic regression evaluating joint exposure to elevated blood lead levels and diarrheal morbidity on clinical malnutrition outcomes (N = 10,507).</w:t>
      </w:r>
    </w:p>
    <w:tbl xmlns:a="http://schemas.openxmlformats.org/drawingml/2006/main" xmlns:pic="http://schemas.openxmlformats.org/drawingml/2006/picture">
      <w:tblPr>
        <w:tblLayout w:type="fixed"/>
        <w:jc w:val="center"/>
        <w:tblLook w:firstRow="1" w:lastRow="0" w:firstColumn="0" w:lastColumn="0" w:noHBand="0" w:noVBand="1"/>
      </w:tblPr>
      <w:tblGrid>
        <w:gridCol w:w="5184"/>
        <w:gridCol w:w="3456"/>
        <w:gridCol w:w="1728"/>
        <w:gridCol w:w="1080"/>
      </w:tblGrid>
      <w:tr>
        <w:trPr>
          <w:trHeight w:val="36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Outcome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Joint Exposure Category</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Adjusted Odds Ratio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p-value</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Stunting (HAZ &lt; -2 SD)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No Diarrhea (Reference: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 (0.72,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No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 (1.02,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 Diarrhea (Joint Exposure)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 (0.91,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Wasting (WHZ &lt; -2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No Diarrhea (Reference: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1.36 (0.89,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No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 (1.02,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 Diarrhea (Joint Exposure)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1.62 (1.17,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Underweight (WAZ &lt; -2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No Diarrhea (Reference: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(0.78,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No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(0.99,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0.063</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 Diarrhea (Joint Exposure)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 (1.10, 1.94)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6"/>
                <w:szCs w:val="16"/>
                <w:color w:val="000000"/>
              </w:rPr>
            </w:pPr>
            <w:r>
              <w:rPr>
                <w:rFonts w:ascii="Arial" w:hAnsi="Arial" w:eastAsia="Arial" w:cs="Arial"/>
                <w:i w:val="true"/>
                <w:b w:val="false"/>
                <w:u w:val="none"/>
                <w:strike w:val="false"/>
                <w:sz w:val="16"/>
                <w:szCs w:val="16"/>
                <w:color w:val="000000"/>
              </w:rPr>
              <w:t xml:space="preserve">Abbreviations: aOR, Adjusted Odds Ratio; BLL, Blood Lead Level; CI, Confidence Interval; HAZ, Height-for-Age z-score; WAZ, Weight-for-Age z-score; WHZ, Weight-for-Height z-score. Elevated blood lead level is defined as &gt;=3.5 ug/dL (US CDC Reference Value). Recent diarrhea is caregiver-reported diarrheal morbidity within the preceding 14 days. *Models adjust for child age (months), child sex, venous hemoglobin (g/dL), maternal education, household head education, wealth index quintile, urban/rural residence, administrative division, peeling wall paint, drinking water source, sanitation facility type, and basic handwashing facilities. All models account for complex survey strata, primary sampling units, and normalized child blood weights.</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2026-10-07T23:44:15Z</dcterms:modified>
  <cp:category/>
</cp:coreProperties>
</file>