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S3: Water Quality Sensitivity Subsample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Supplementary Table S3. Sensitivity analysis evaluating blood lead levels, diarrheal morbidity, and child growth faltering within the household drinking water quality (E. coli) testing subsample.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31"/>
        <w:gridCol w:w="1435"/>
        <w:gridCol w:w="2630"/>
        <w:gridCol w:w="1080"/>
        <w:gridCol w:w="1080"/>
        <w:gridCol w:w="1490"/>
        <w:gridCol w:w="1080"/>
      </w:tblGrid>
      <w:tr>
        <w:trPr>
          <w:trHeight w:val="59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Sample_Size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CI_95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p_value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HAZ (E. coli Subsample)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Blood lead level (log2 ug/dL)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(-0.220, 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Recent diarrhea (past 2 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(-0.773, 0.785)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1112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Interaction (BLL x Diarrhea)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(-0.392, 0.329)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Abbreviations: BLL, Blood Lead Level; CI, Confidence Interval; CFU, Colony Forming Units; HAZ, Height-for-Age z-score; WAZ, Weight-for-Age z-score; WHZ, Weight-for-Height z-score. Household water contamination was assessed via membrane filtration testing of source/stored drinking water (WQ26). Models account for complex survey strata, primary sampling units, and normalized subsample weights, with multivariable adjustment for all baseline demographic and socio-environmental covariates.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2026-10-07T23:44:16Z</dcterms:modified>
  <cp:category/>
</cp:coreProperties>
</file>