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S4: Multicollinearity Diagnostics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S4. Multicollinearity diagnostic statistics (Variance Inflation Factors) for fully adjusted multivariable regression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1080"/>
        <w:gridCol w:w="1080"/>
        <w:gridCol w:w="1720"/>
        <w:gridCol w:w="2072"/>
      </w:tblGrid>
      <w:tr>
        <w:trPr>
          <w:trHeight w:val="59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GVIF_Adjusted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Conclusion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 age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Hemoglobin (g/dL)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Maternal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head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Wealth index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 of residence (Urban/Rural)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Administrative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Peeling/chipped wall paint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Drinking water source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Sanitation facility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Basic handwashing facility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Collinearity (&lt; 2.5)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Df, Degrees of Freedom; GVIF, Generalized Variance Inflation Factor. GVIF^(1/(2*Df)) provides a metric comparable to standard single-degree-of-freedom VIFs. Values of GVIF^(1/(2*Df)) &lt; 2.0 (equivalent to VIF &lt; 4.0) demonstrate an absence of severe collinearity among exposure, socio-demographic, and built-environment covariates.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2026-10-07T23:44:17Z</dcterms:modified>
  <cp:category/>
</cp:coreProperties>
</file>