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2: Bivariate association (Chi-square) between background characteristics and nutritional outcomes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3168"/>
        <w:gridCol w:w="1224"/>
        <w:gridCol w:w="648"/>
        <w:gridCol w:w="1296"/>
        <w:gridCol w:w="1224"/>
        <w:gridCol w:w="648"/>
        <w:gridCol w:w="1296"/>
        <w:gridCol w:w="1440"/>
        <w:gridCol w:w="648"/>
        <w:gridCol w:w="1296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Stunting χ²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df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p-value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Wasting χ²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df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p-value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Underweight χ²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df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p-value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59.692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8.032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55.803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Child's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0.696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51.186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36.726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16.751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127.655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122.405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61.823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46.265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51.760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39.705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0.011*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113.154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99.822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Source of drinking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0.751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29.193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the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0.992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28.856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61.545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61.445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0.013*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61.822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48.905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38.754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Roof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0.242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34.672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16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8.267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0.004**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0.645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0.422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440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8.902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0.003**</w:t>
            </w:r>
          </w:p>
        </w:tc>
      </w:tr>
    </w:tbl>
    <w:sectPr>
      <w:pgMar w:header="708" w:bottom="1080" w:top="1080" w:right="1080" w:left="1080" w:footer="708" w:gutter="0"/>
      <w:pgSz w:h="12240" w:w="15840" w:orient="landscape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2026-10-27T11:11:22Z</dcterms:modified>
  <cp:category/>
</cp:coreProperties>
</file>