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3: Adjusted odds ratios from multilevel logistic regression models for determinants of child stunting, wasting, and underweight in Bangladesh (Model III)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  <w:tblInd w:w="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  <w:tblCellMar>
          <w:top w:w="120" w:type="dxa"/>
          <w:bottom w:w="120" w:type="dxa"/>
          <w:left w:w="150" w:type="dxa"/>
          <w:right w:w="150" w:type="dxa"/>
        </w:tblCellMar>
      </w:tblPr>
      <w:tblGrid>
        <w:gridCol w:w="2160"/>
        <w:gridCol w:w="1944"/>
        <w:gridCol w:w="1944"/>
        <w:gridCol w:w="1944"/>
        <w:gridCol w:w="1944"/>
      </w:tblGrid>
      <w:tr>
        <w:trPr>
          <w:trHeight w:val="360" w:hRule="auto"/>
          <w:tblHeader/>
          <w:cantSplit/>
        </w:trPr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Variable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left"/>
            </w:pPr>
            <w:r>
              <w:rPr>
                <w:rFonts w:ascii="Cambria" w:hAnsi="Cambria"/>
                <w:b/>
                <w:color w:val="000000"/>
                <w:sz w:val="20"/>
              </w:rPr>
              <w:t>Category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Stunting AOR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Wasting AOR (95% CI)</w:t>
            </w:r>
          </w:p>
        </w:tc>
        <w:tc>
          <w:tcPr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  <w:tcBorders>
              <w:bottom w:val="single" w:sz="6" w:space="0" w:color="000000"/>
              <w:top w:val="none"/>
              <w:left w:val="none"/>
              <w:right w:val="none"/>
            </w:tcBorders>
          </w:tcPr>
          <w:p>
            <w:pPr>
              <w:spacing w:before="0" w:after="0" w:line="252" w:lineRule="auto"/>
              <w:jc w:val="center"/>
            </w:pPr>
            <w:r>
              <w:rPr>
                <w:rFonts w:ascii="Cambria" w:hAnsi="Cambria"/>
                <w:b/>
                <w:color w:val="000000"/>
                <w:sz w:val="20"/>
              </w:rPr>
              <w:t>Underweight AOR (95% CI)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0-11 months (Ref)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12-23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2.38 (1.85-3.06)***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0.92 (0.67-1.27)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1.60 (1.23-2.07)***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24-35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2.25 (1.75-2.90)***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1.07 (0.78-1.46)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2.00 (1.54-2.58)***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36-47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1.87 (1.44-2.43)***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1.14 (0.84-1.57)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1.92 (1.47-2.50)***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48-59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1.69 (1.29-2.22)***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1.21 (0.88-1.66)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2.25 (1.72-2.94)***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First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Second/third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1.19 (0.84-1.68)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(0.58-1.36)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1.34 (0.94-1.90)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Birth 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Fourth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1.11 (0.54-2.28)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0.61 (0.25-1.50)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1.18 (0.58-2.43)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15-19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(0.85-1.58)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1.02 (0.68-1.52)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1.34 (0.96-1.86)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1.06 (0.74-1.50)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 (0.64-1.57)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 (0.70-1.45)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0.96 (0.65-1.41)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1.31 (0.81-2.12)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1.11 (0.75-1.65)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(0.57-1.37)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1.48 (0.86-2.54)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(0.72-1.76)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40-49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0.70 (0.37-1.33)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2.05 (1.00-4.21)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1.03 (0.55-1.93)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education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0.69 (0.51-0.94)*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(0.40-0.85)**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0.56 (0.42-0.76)***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(0.43-0.78)***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0.63 (0.44-0.91)*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0.47 (0.35-0.64)***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Mother's 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0.38 (0.26-0.56)***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0.67 (0.43-1.05)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0.37 (0.25-0.53)***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0.69 (0.31-1.53)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1.78 (0.73-4.39)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0.93 (0.44-1.97)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Children ever 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1.20 (0.41-3.52)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3.27 (0.91-11.70)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1.34 (0.47-3.83)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Currently pregnant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(0.79-1.59)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0.97 (0.60-1.56)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1.30 (0.92-1.83)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0-1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2-3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1.37 (0.67-2.79)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0.59 (0.27-1.29)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(0.44-1.65)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Number of living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1.45 (0.61-3.47)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0.45 (0.16-1.23)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0.95 (0.41-2.18)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Poor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(0.69-1.13)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(0.65-1.22)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(0.70-1.15)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0.64 (0.46-0.89)**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(0.58-1.32)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0.66 (0.47-0.93)*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Toilet facility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(0.67-0.99)*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 (0.76-1.28)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 (0.82-1.23)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Electricity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1.16 (0.85-1.59)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0.84 (0.56-1.24)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1.09 (0.79-1.50)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TV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(0.84-1.21)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1.11 (0.88-1.40)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(0.84-1.21)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refrigerator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(0.67-1.00)*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0.79 (0.61-1.02)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0.75 (0.62-0.92)**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No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Owns Bicycle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0.90 (0.73-1.11)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0.97 (0.75-1.25)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0.86 (0.69-1.06)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Floor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0.84 (0.65-1.09)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1.18 (0.85-1.64)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 (0.76-1.28)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Unimproved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Wall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Improved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1.12 (0.89-1.41)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(0.61-1.11)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0.98 (0.77-1.24)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Barisal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Chittagong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0.99 (0.74-1.33)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0.82 (0.57-1.16)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0.95 (0.71-1.28)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Dhaka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(0.73-1.38)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0.58 (0.39-0.87)**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0.80 (0.58-1.11)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Khulna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0.88 (0.62-1.25)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0.78 (0.51-1.18)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0.83 (0.58-1.18)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Rajshahi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(0.74-1.39)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0.97 (0.67-1.40)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1.01 (0.74-1.38)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Rangpur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0.87 (0.61-1.24)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0.94 (0.62-1.40)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0.89 (0.63-1.27)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Sylhet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(0.61-1.19)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0.83 (0.55-1.23)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1.06 (0.76-1.47)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Region/Division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Mymensingh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1.28 (0.94-1.75)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(0.58-1.25)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1.21 (0.89-1.65)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Urban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1.00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Type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0.92 (0.76-1.11)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0.85 (0.67-1.06)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0.98 (0.81-1.18)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/>
                <w:u w:val="none"/>
                <w:strike w:val="false"/>
                <w:color w:val="000000"/>
                <w:sz w:val="19"/>
                <w:szCs w:val="19"/>
              </w:rPr>
              <w:t xml:space="preserve">Random-Effect &amp; Fit Statistics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tru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4259.62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3000.7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4197.88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4499.61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3240.7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4437.87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-2091.81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-1462.35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-2060.94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Cluster Variance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0.0364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ICC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1.19%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1.09%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1.2</w:t>
            </w:r>
          </w:p>
        </w:tc>
      </w:tr>
      <w:tr>
        <w:trPr>
          <w:trHeight w:val="360" w:hRule="auto"/>
          <w:cantSplit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2160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LRT chi2 (p-value)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16.36 (p &lt; 0.001)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0.13 (p &lt; 0.001)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  <w:vAlign w:val="center"/>
            <w:tcW w:w="1944" w:type="dxa"/>
            <w:shd w:fill="FFFFFF" w:val="clea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52" w:lineRule="auto"/>
              <w:ind w:left="100" w:right="100" w:firstLine="0" w:firstLineChars="0"/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Cambria" w:hAnsi="Cambria" w:eastAsia="Cambria" w:cs="Cambria"/>
                <w:i w:val="false"/>
                <w:b w:val="false"/>
                <w:u w:val="none"/>
                <w:strike w:val="false"/>
                <w:color w:val="000000"/>
                <w:sz w:val="19"/>
                <w:szCs w:val="19"/>
              </w:rPr>
              <w:t xml:space="preserve">10.07 (p &lt; 0.001)</w:t>
            </w:r>
          </w:p>
        </w:tc>
      </w:tr>
    </w:tbl>
    <w:sectPr>
      <w:pgMar w:header="708" w:bottom="1152" w:top="1152" w:right="1152" w:left="1152" w:footer="708" w:gutter="0"/>
      <w:pgSz w:h="15840" w:w="12240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2026-10-27T11:11:24Z</dcterms:modified>
  <cp:category/>
</cp:coreProperties>
</file>