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S2: Parameter estimates of the multilevel logistic regression models for wasting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160"/>
        <w:gridCol w:w="2015"/>
        <w:gridCol w:w="1872"/>
        <w:gridCol w:w="1872"/>
        <w:gridCol w:w="1872"/>
      </w:tblGrid>
      <w:tr>
        <w:trPr>
          <w:trHeight w:val="360" w:hRule="auto"/>
          <w:tblHeader/>
          <w:cantSplit/>
        </w:trPr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Variable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Category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Model I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Model II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Model III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0-11 months (Ref)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0.91 (0.67-1.26)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0.92 (0.67-1.27)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0.92 (0.67-1.27)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24-35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1.05 (0.77-1.43)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1.07 (0.79-1.47)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1.07 (0.78-1.46)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36-47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1.12 (0.82-1.53)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1.15 (0.84-1.57)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1.14 (0.84-1.57)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48-59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1.21 (0.89-1.66)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1.23 (0.89-1.68)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1.21 (0.88-1.66)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First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Second/third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0.87 (0.57-1.34)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0.89 (0.58-1.37)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0.88 (0.58-1.36)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Fourth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0.60 (0.25-1.48)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0.63 (0.26-1.54)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0.61 (0.25-1.50)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15-19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1.02 (0.68-1.52)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1.04 (0.70-1.56)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1.02 (0.68-1.52)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0.99 (0.63-1.55)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1.04 (0.66-1.63)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 (0.64-1.57)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1.24 (0.77-2.01)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1.33 (0.82-2.16)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1.31 (0.81-2.12)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1.41 (0.82-2.42)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1.52 (0.88-2.60)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1.48 (0.86-2.54)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40-49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1.88 (0.92-3.84)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2.11 (1.03-4.34)*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2.05 (1.00-4.21)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education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0.55 (0.38-0.81)**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0.59 (0.40-0.85)**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0.58 (0.40-0.85)**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0.56 (0.39-0.79)**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0.64 (0.44-0.91)*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0.63 (0.44-0.91)*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0.58 (0.39-0.87)**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0.71 (0.46-1.10)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0.67 (0.43-1.05)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0-1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1.80 (0.74-4.40)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1.74 (0.71-4.25)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1.78 (0.73-4.39)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3.37 (0.95-11.96)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3.14 (0.88-11.19)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3.27 (0.91-11.70)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0.93 (0.58-1.50)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0.93 (0.57-1.50)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0.97 (0.60-1.56)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0-1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0.59 (0.27-1.29)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0.60 (0.27-1.31)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0.59 (0.27-1.29)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0.45 (0.16-1.22)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0.45 (0.17-1.24)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0.45 (0.16-1.23)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Poor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0.88 (0.64-1.20)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0.89 (0.65-1.22)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Rich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0.87 (0.58-1.31)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0.87 (0.58-1.32)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0.98 (0.76-1.27)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0.99 (0.76-1.28)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Electricity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Electricity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0.84 (0.57-1.25)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0.84 (0.56-1.24)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1.13 (0.90-1.42)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1.11 (0.88-1.40)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0.79 (0.61-1.02)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0.79 (0.61-1.02)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0.94 (0.74-1.21)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0.97 (0.75-1.25)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1.16 (0.84-1.60)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1.18 (0.85-1.64)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0.82 (0.61-1.09)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0.82 (0.61-1.11)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Barisal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Chittagong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0.82 (0.57-1.16)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Dhaka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0.58 (0.39-0.87)**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Khulna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0.78 (0.51-1.18)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Rajshahi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0.97 (0.67-1.40)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Rangpur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0.94 (0.62-1.40)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Sylhet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0.83 (0.55-1.23)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Mymensingh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0.85 (0.58-1.25)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Urban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0.85 (0.67-1.06)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9"/>
                <w:szCs w:val="19"/>
              </w:rPr>
              <w:t xml:space="preserve">Random-Effect &amp; Fit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2992.76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2996.17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3000.7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3125.38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3185.64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3240.7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-1475.38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-1468.09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-1462.35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Cluster Variance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ICC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0.43%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0.15%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0%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LRT chi2 (p-value)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0.13 (p &lt; 0.001)</w:t>
            </w:r>
          </w:p>
        </w:tc>
      </w:tr>
    </w:tbl>
    <w:sectPr>
      <w:pgMar w:header="708" w:bottom="1152" w:top="1152" w:right="1152" w:left="1152" w:footer="708" w:gutter="0"/>
      <w:pgSz w:h="15840" w:w="12240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2026-10-27T11:11:31Z</dcterms:modified>
  <cp:category/>
</cp:coreProperties>
</file>