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S3: Parameter estimates of the multilevel logistic regression models for underweight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  <w:tblInd w:w="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2160"/>
        <w:gridCol w:w="2015"/>
        <w:gridCol w:w="1872"/>
        <w:gridCol w:w="1872"/>
        <w:gridCol w:w="1872"/>
      </w:tblGrid>
      <w:tr>
        <w:trPr>
          <w:trHeight w:val="360" w:hRule="auto"/>
          <w:tblHeader/>
          <w:cantSplit/>
        </w:trPr>
        <w:tc>
          <w:tcPr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  <w:tcBorders>
              <w:bottom w:val="single" w:sz="6" w:space="0" w:color="000000"/>
              <w:top w:val="none"/>
              <w:left w:val="none"/>
              <w:right w:val="non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mbria" w:hAnsi="Cambria"/>
                <w:b/>
                <w:color w:val="000000"/>
                <w:sz w:val="20"/>
              </w:rPr>
              <w:t>Variable</w:t>
            </w:r>
          </w:p>
        </w:tc>
        <w:tc>
          <w:tcPr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  <w:tcBorders>
              <w:bottom w:val="single" w:sz="6" w:space="0" w:color="000000"/>
              <w:top w:val="none"/>
              <w:left w:val="none"/>
              <w:right w:val="none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Cambria" w:hAnsi="Cambria"/>
                <w:b/>
                <w:color w:val="000000"/>
                <w:sz w:val="20"/>
              </w:rPr>
              <w:t>Category</w:t>
            </w:r>
          </w:p>
        </w:tc>
        <w:tc>
          <w:tcPr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  <w:tcBorders>
              <w:bottom w:val="single" w:sz="6" w:space="0" w:color="000000"/>
              <w:top w:val="none"/>
              <w:left w:val="none"/>
              <w:right w:val="non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0"/>
              </w:rPr>
              <w:t>Model I</w:t>
            </w:r>
          </w:p>
        </w:tc>
        <w:tc>
          <w:tcPr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  <w:tcBorders>
              <w:bottom w:val="single" w:sz="6" w:space="0" w:color="000000"/>
              <w:top w:val="none"/>
              <w:left w:val="none"/>
              <w:right w:val="non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0"/>
              </w:rPr>
              <w:t>Model II</w:t>
            </w:r>
          </w:p>
        </w:tc>
        <w:tc>
          <w:tcPr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  <w:tcBorders>
              <w:bottom w:val="single" w:sz="6" w:space="0" w:color="000000"/>
              <w:top w:val="none"/>
              <w:left w:val="none"/>
              <w:right w:val="non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mbria" w:hAnsi="Cambria"/>
                <w:b/>
                <w:color w:val="000000"/>
                <w:sz w:val="20"/>
              </w:rPr>
              <w:t>Model III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Child age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0-11 months (Ref)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Child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12-23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1.60 (1.24-2.08)***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1.59 (1.23-2.07)***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1.60 (1.23-2.07)***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Child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24-35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1.96 (1.52-2.53)***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2.00 (1.55-2.58)***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2.00 (1.54-2.58)***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Child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36-47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1.90 (1.46-2.47)***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1.92 (1.47-2.50)***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1.92 (1.47-2.50)***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Child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48-59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2.26 (1.73-2.95)***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2.27 (1.74-2.97)***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2.25 (1.72-2.94)***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Birth 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First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Birth 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Second/third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1.29 (0.91-1.82)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1.32 (0.93-1.87)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1.34 (0.94-1.90)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Birth 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Fourth or more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1.16 (0.57-2.38)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1.18 (0.57-2.42)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1.18 (0.58-2.43)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Mother's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15-19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Mother's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20-24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1.35 (0.97-1.88)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1.37 (0.99-1.90)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1.34 (0.96-1.86)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Mother's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25-29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0.99 (0.68-1.43)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1.04 (0.72-1.50)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 (0.70-1.45)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Mother's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30-34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1.01 (0.68-1.50)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1.14 (0.76-1.69)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1.11 (0.75-1.65)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Mother's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35-39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0.99 (0.63-1.55)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1.13 (0.72-1.77)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1.12 (0.72-1.76)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Mother's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40-49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0.89 (0.47-1.67)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1.05 (0.56-1.97)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1.03 (0.55-1.93)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Mother's education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No education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Mother's education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0.53 (0.40-0.72)***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0.57 (0.42-0.77)***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0.56 (0.42-0.76)***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Mother's education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0.37 (0.28-0.50)***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0.46 (0.35-0.62)***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0.47 (0.35-0.64)***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Mother's education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0.24 (0.17-0.34)***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0.36 (0.25-0.53)***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0.37 (0.25-0.53)***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Children ever 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0-1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Children ever 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2-3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1.09 (0.51-2.30)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0.97 (0.46-2.05)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0.93 (0.44-1.97)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Children ever 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4+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1.68 (0.59-4.78)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1.44 (0.51-4.12)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1.34 (0.47-3.83)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Currently pregnant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No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Currently pregnant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1.32 (0.94-1.85)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1.31 (0.93-1.84)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1.30 (0.92-1.83)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Number of living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0-1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Number of living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2-3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0.77 (0.40-1.49)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0.83 (0.43-1.61)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0.85 (0.44-1.65)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Number of living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4+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0.88 (0.38-2.03)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0.92 (0.40-2.12)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0.95 (0.41-2.18)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Wealth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Poor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Wealth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0.89 (0.69-1.13)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0.89 (0.70-1.15)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Wealth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Rich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0.66 (0.47-0.93)*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0.66 (0.47-0.93)*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Toilet facility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Unimproved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Toilet facility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Improved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0.99 (0.81-1.21)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 (0.82-1.23)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Electricity in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No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Electricity in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1.11 (0.81-1.53)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1.09 (0.79-1.50)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Owns TV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No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Owns TV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0.99 (0.83-1.19)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1.01 (0.84-1.21)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Owns refrigerator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No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Owns refrigerator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0.75 (0.61-0.91)**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0.75 (0.62-0.92)**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Owns Bicycle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No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Owns Bicycle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0.84 (0.69-1.03)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0.86 (0.69-1.06)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Floor material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Unimproved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Floor material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Improved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0.96 (0.75-1.24)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0.99 (0.76-1.28)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Wall material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Unimproved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Wall material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Improved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 (0.79-1.26)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0.98 (0.77-1.24)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Region/Division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Barisal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Region/Division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Chittagong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0.95 (0.71-1.28)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Region/Division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Dhaka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0.80 (0.58-1.11)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Region/Division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Khulna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0.83 (0.58-1.18)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Region/Division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Rajshahi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1.01 (0.74-1.38)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Region/Division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Rangpur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0.89 (0.63-1.27)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Region/Division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Sylhet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1.06 (0.76-1.47)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Region/Division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Mymensingh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1.21 (0.89-1.65)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Type of 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Urban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Type of 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0.98 (0.81-1.18)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/>
                <w:u w:val="none"/>
                <w:strike w:val="false"/>
                <w:color w:val="000000"/>
                <w:sz w:val="19"/>
                <w:szCs w:val="19"/>
              </w:rPr>
              <w:t xml:space="preserve">Random-Effect &amp; Fit Statistics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tru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tru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tru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tru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4224.31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4191.14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4197.88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4356.94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4380.61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4437.87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Log-Likelihood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-2091.16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-2065.57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-2060.94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Cluster Variance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0.0943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0.0502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0.0364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ICC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2.79%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1.09%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1.2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LRT chi2 (p-value)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872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52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9"/>
                <w:szCs w:val="19"/>
              </w:rPr>
              <w:t xml:space="preserve">10.07 (p &lt; 0.001)</w:t>
            </w:r>
          </w:p>
        </w:tc>
      </w:tr>
    </w:tbl>
    <w:sectPr>
      <w:pgMar w:header="708" w:bottom="1152" w:top="1152" w:right="1152" w:left="1152" w:footer="708" w:gutter="0"/>
      <w:pgSz w:h="15840" w:w="12240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2026-10-27T11:11:35Z</dcterms:modified>
  <cp:category/>
</cp:coreProperties>
</file>