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120"/>
      </w:pPr>
      <w:r/>
      <w:r>
        <w:rPr>
          <w:rFonts w:ascii="Cambria" w:hAnsi="Cambria"/>
          <w:b/>
          <w:color w:val="000000"/>
          <w:sz w:val="22"/>
        </w:rPr>
        <w:t>Table 2: Bivariate cross-tabulation and design-adjusted Rao-Scott Chi-square tests of child undernutrition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096"/>
        <w:gridCol w:w="1296"/>
        <w:gridCol w:w="648"/>
        <w:gridCol w:w="1368"/>
        <w:gridCol w:w="1296"/>
        <w:gridCol w:w="648"/>
        <w:gridCol w:w="1368"/>
        <w:gridCol w:w="1584"/>
        <w:gridCol w:w="648"/>
        <w:gridCol w:w="1368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left"/>
            </w:pPr>
            <w:r>
              <w:rPr>
                <w:rFonts w:ascii="Cambria" w:hAnsi="Cambria"/>
                <w:b/>
                <w:color w:val="000000"/>
                <w:sz w:val="19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Stunting Chi2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df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p-value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Wasting Chi2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df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p-value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Underweight Chi2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df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20" w:after="20" w:line="264" w:lineRule="auto"/>
              <w:jc w:val="center"/>
            </w:pPr>
            <w:r>
              <w:rPr>
                <w:rFonts w:ascii="Cambria" w:hAnsi="Cambria"/>
                <w:b/>
                <w:color w:val="000000"/>
                <w:sz w:val="19"/>
              </w:rPr>
              <w:t>p-value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59.692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8.032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55.803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Child's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0.696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51.186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36.726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16.751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21.445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127.655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19.322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122.405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61.823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46.265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51.760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39.705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0.011*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113.154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99.822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Source of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0.751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29.193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12.441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Electricity in the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0.992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28.856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20.750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61.545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61.445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0.013*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61.822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48.905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38.754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40.338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Roof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0.242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32.479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11.409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34.672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&lt;0.001***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309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Type of residence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8.267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0.004**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296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0.645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0.422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58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8.902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6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36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64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8"/>
                <w:szCs w:val="19"/>
              </w:rPr>
              <w:t xml:space="preserve">0.003**</w:t>
            </w:r>
          </w:p>
        </w:tc>
      </w:tr>
    </w:tbl>
    <w:p>
      <w:pPr>
        <w:spacing w:before="120" w:after="0"/>
      </w:pPr>
      <w:r/>
      <w:r>
        <w:rPr>
          <w:rFonts w:ascii="Cambria" w:hAnsi="Cambria"/>
          <w:i w:val="0"/>
          <w:color w:val="000000"/>
          <w:sz w:val="17"/>
        </w:rPr>
        <w:t>Note: Chi2 statistics and p-values are adjusted for the two-stage stratified cluster sampling design using the Rao-Scott second-order correction. df = degrees of freedom.</w:t>
      </w:r>
    </w:p>
    <w:sectPr>
      <w:pgMar w:header="708" w:bottom="1080" w:top="1080" w:right="864" w:left="864" w:footer="708" w:gutter="0"/>
      <w:pgSz w:h="12240" w:w="15840" w:orient="landscape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2026-10-27T11:11:22Z</dcterms:modified>
  <cp:category/>
</cp:coreProperties>
</file>