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spacing w:before="0" w:after="120"/>
      </w:pPr>
      <w:r/>
      <w:r>
        <w:rPr>
          <w:rFonts w:ascii="Cambria" w:hAnsi="Cambria"/>
          <w:b/>
          <w:color w:val="000000"/>
          <w:sz w:val="22"/>
        </w:rPr>
        <w:t>Table 3: Multilevel logistic regression models evaluating determinants of stunting, wasting, and underweight (Model III)</w:t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  <w:tblInd w:w="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  <w:tblCellMar>
          <w:top w:w="100" w:type="dxa"/>
          <w:bottom w:w="100" w:type="dxa"/>
          <w:left w:w="120" w:type="dxa"/>
          <w:right w:w="120" w:type="dxa"/>
        </w:tblCellMar>
      </w:tblPr>
      <w:tblGrid>
        <w:gridCol w:w="2160"/>
        <w:gridCol w:w="1872"/>
        <w:gridCol w:w="2015"/>
        <w:gridCol w:w="2015"/>
        <w:gridCol w:w="2015"/>
      </w:tblGrid>
      <w:tr>
        <w:trPr>
          <w:trHeight w:val="360" w:hRule="auto"/>
          <w:tblHeader/>
          <w:cantSplit/>
        </w:trPr>
        <w:tc>
          <w:tcPr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  <w:tcBorders>
              <w:bottom w:val="single" w:sz="6" w:space="0" w:color="000000"/>
              <w:top w:val="none"/>
              <w:left w:val="none"/>
              <w:right w:val="none"/>
            </w:tcBorders>
          </w:tcPr>
          <w:p>
            <w:pPr>
              <w:spacing w:before="20" w:after="20" w:line="264" w:lineRule="auto"/>
              <w:jc w:val="left"/>
            </w:pPr>
            <w:r>
              <w:rPr>
                <w:rFonts w:ascii="Cambria" w:hAnsi="Cambria"/>
                <w:b/>
                <w:color w:val="000000"/>
                <w:sz w:val="19"/>
              </w:rPr>
              <w:t>Variable</w:t>
            </w:r>
          </w:p>
        </w:tc>
        <w:tc>
          <w:tcPr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  <w:tcBorders>
              <w:bottom w:val="single" w:sz="6" w:space="0" w:color="000000"/>
              <w:top w:val="none"/>
              <w:left w:val="none"/>
              <w:right w:val="none"/>
            </w:tcBorders>
          </w:tcPr>
          <w:p>
            <w:pPr>
              <w:spacing w:before="20" w:after="20" w:line="264" w:lineRule="auto"/>
              <w:jc w:val="left"/>
            </w:pPr>
            <w:r>
              <w:rPr>
                <w:rFonts w:ascii="Cambria" w:hAnsi="Cambria"/>
                <w:b/>
                <w:color w:val="000000"/>
                <w:sz w:val="19"/>
              </w:rPr>
              <w:t>Category</w:t>
            </w:r>
          </w:p>
        </w:tc>
        <w:tc>
          <w:tcPr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  <w:tcBorders>
              <w:bottom w:val="single" w:sz="6" w:space="0" w:color="000000"/>
              <w:top w:val="none"/>
              <w:left w:val="none"/>
              <w:right w:val="none"/>
            </w:tcBorders>
          </w:tcPr>
          <w:p>
            <w:pPr>
              <w:spacing w:before="20" w:after="20" w:line="264" w:lineRule="auto"/>
              <w:jc w:val="center"/>
            </w:pPr>
            <w:r>
              <w:rPr>
                <w:rFonts w:ascii="Cambria" w:hAnsi="Cambria"/>
                <w:b/>
                <w:color w:val="000000"/>
                <w:sz w:val="19"/>
              </w:rPr>
              <w:t>Stunting AOR (95% CI)</w:t>
            </w:r>
          </w:p>
        </w:tc>
        <w:tc>
          <w:tcPr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  <w:tcBorders>
              <w:bottom w:val="single" w:sz="6" w:space="0" w:color="000000"/>
              <w:top w:val="none"/>
              <w:left w:val="none"/>
              <w:right w:val="none"/>
            </w:tcBorders>
          </w:tcPr>
          <w:p>
            <w:pPr>
              <w:spacing w:before="20" w:after="20" w:line="264" w:lineRule="auto"/>
              <w:jc w:val="center"/>
            </w:pPr>
            <w:r>
              <w:rPr>
                <w:rFonts w:ascii="Cambria" w:hAnsi="Cambria"/>
                <w:b/>
                <w:color w:val="000000"/>
                <w:sz w:val="19"/>
              </w:rPr>
              <w:t>Wasting AOR (95% CI)</w:t>
            </w:r>
          </w:p>
        </w:tc>
        <w:tc>
          <w:tcPr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  <w:tcBorders>
              <w:bottom w:val="single" w:sz="6" w:space="0" w:color="000000"/>
              <w:top w:val="none"/>
              <w:left w:val="none"/>
              <w:right w:val="none"/>
            </w:tcBorders>
          </w:tcPr>
          <w:p>
            <w:pPr>
              <w:spacing w:before="20" w:after="20" w:line="264" w:lineRule="auto"/>
              <w:jc w:val="center"/>
            </w:pPr>
            <w:r>
              <w:rPr>
                <w:rFonts w:ascii="Cambria" w:hAnsi="Cambria"/>
                <w:b/>
                <w:color w:val="000000"/>
                <w:sz w:val="19"/>
              </w:rPr>
              <w:t>Underweight AOR (95% CI)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Child age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0-11 months (Ref)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1.00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Child 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12-23 months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2.38 (1.85-3.06)***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0.92 (0.67-1.27)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1.60 (1.23-2.07)***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Child 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24-35 months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2.25 (1.75-2.90)***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1.07 (0.78-1.46)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2.00 (1.54-2.58)***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Child 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36-47 months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1.87 (1.44-2.43)***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1.14 (0.84-1.57)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1.92 (1.47-2.50)***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Child 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48-59 months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1.69 (1.29-2.22)***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1.21 (0.88-1.66)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2.25 (1.72-2.94)***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Birth order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First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1.00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Birth order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Second/third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1.19 (0.84-1.68)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0.88 (0.58-1.36)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1.34 (0.94-1.90)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Birth order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Fourth or more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1.11 (0.54-2.28)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0.61 (0.25-1.50)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1.18 (0.58-2.43)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Mother's 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15-19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1.00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Mother's 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20-24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1.16 (0.85-1.58)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1.02 (0.68-1.52)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1.34 (0.96-1.86)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Mother's 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25-29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1.06 (0.74-1.50)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1.00 (0.64-1.57)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1.00 (0.70-1.45)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Mother's 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30-34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0.96 (0.65-1.41)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1.31 (0.81-2.12)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1.11 (0.75-1.65)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Mother's 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35-39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0.88 (0.57-1.37)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1.48 (0.86-2.54)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1.12 (0.72-1.76)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Mother's 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40-49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0.70 (0.37-1.33)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2.05 (1.00-4.21)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1.03 (0.55-1.93)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Mother's education level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No education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1.00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Mother's education level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Primary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0.69 (0.51-0.94)*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0.58 (0.40-0.85)**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0.56 (0.42-0.76)***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Mother's education level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Secondary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0.58 (0.43-0.78)***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0.63 (0.44-0.91)*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0.47 (0.35-0.64)***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Mother's education level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Higher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0.38 (0.26-0.56)***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0.67 (0.43-1.05)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0.37 (0.25-0.53)***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Children ever born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0-1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1.00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Children ever born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2-3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0.69 (0.31-1.53)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1.78 (0.73-4.39)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0.93 (0.44-1.97)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Children ever born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4+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1.20 (0.41-3.52)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3.27 (0.91-11.70)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1.34 (0.47-3.83)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Currently pregnant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No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1.00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Currently pregnant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1.12 (0.79-1.59)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0.97 (0.60-1.56)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1.30 (0.92-1.83)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Number of living children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0-1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1.00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Number of living children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2-3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1.37 (0.67-2.79)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0.59 (0.27-1.29)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0.85 (0.44-1.65)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Number of living children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4+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1.45 (0.61-3.47)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0.45 (0.16-1.23)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0.95 (0.41-2.18)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Wealth index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Poor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1.00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Wealth index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Middle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0.88 (0.69-1.13)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0.89 (0.65-1.22)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0.89 (0.70-1.15)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Wealth index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Rich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0.64 (0.46-0.89)**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0.87 (0.58-1.32)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0.66 (0.47-0.93)*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Toilet facility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Unimproved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1.00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Toilet facility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Improved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0.82 (0.67-0.99)*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0.99 (0.76-1.28)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1.00 (0.82-1.23)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Electricity in household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No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1.00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Electricity in household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1.16 (0.85-1.59)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0.84 (0.56-1.24)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1.09 (0.79-1.50)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Owns TV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No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1.00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Owns TV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1.01 (0.84-1.21)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1.11 (0.88-1.40)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1.01 (0.84-1.21)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Owns refrigerator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No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1.00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Owns refrigerator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0.82 (0.67-1.00)*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0.79 (0.61-1.02)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0.75 (0.62-0.92)**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Owns Bicycle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No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1.00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Owns Bicycle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0.90 (0.73-1.11)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0.97 (0.75-1.25)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0.86 (0.69-1.06)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Floor material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Unimproved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1.00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Floor material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Improved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0.84 (0.65-1.09)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1.18 (0.85-1.64)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0.99 (0.76-1.28)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Wall material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Unimproved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1.00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Wall material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Improved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1.12 (0.89-1.41)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0.82 (0.61-1.11)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0.98 (0.77-1.24)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Region/Division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Barisal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1.00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Region/Division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Chittagong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0.99 (0.74-1.33)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0.82 (0.57-1.16)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0.95 (0.71-1.28)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Region/Division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Dhaka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1.01 (0.73-1.38)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0.58 (0.39-0.87)**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0.80 (0.58-1.11)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Region/Division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Khulna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0.88 (0.62-1.25)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0.78 (0.51-1.18)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0.83 (0.58-1.18)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Region/Division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Rajshahi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1.01 (0.74-1.39)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0.97 (0.67-1.40)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1.01 (0.74-1.38)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Region/Division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Rangpur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0.87 (0.61-1.24)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0.94 (0.62-1.40)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0.89 (0.63-1.27)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Region/Division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Sylhet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0.85 (0.61-1.19)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0.83 (0.55-1.23)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1.06 (0.76-1.47)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Region/Division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Mymensingh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1.28 (0.94-1.75)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0.85 (0.58-1.25)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1.21 (0.89-1.65)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Type of residence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Urban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1.00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Type of residence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Rural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0.92 (0.76-1.11)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0.85 (0.67-1.06)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0.98 (0.81-1.18)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/>
                <w:u w:val="none"/>
                <w:strike w:val="false"/>
                <w:color w:val="000000"/>
                <w:sz w:val="18"/>
                <w:szCs w:val="19"/>
              </w:rPr>
              <w:t xml:space="preserve">Random-Effect &amp; Fit Statistics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true"/>
                <w:u w:val="none"/>
                <w:strike w:val="false"/>
                <w:color w:val="000000"/>
                <w:sz w:val="18"/>
                <w:szCs w:val="19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true"/>
                <w:u w:val="none"/>
                <w:strike w:val="false"/>
                <w:color w:val="000000"/>
                <w:sz w:val="18"/>
                <w:szCs w:val="19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true"/>
                <w:u w:val="none"/>
                <w:strike w:val="false"/>
                <w:color w:val="000000"/>
                <w:sz w:val="18"/>
                <w:szCs w:val="19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true"/>
                <w:u w:val="none"/>
                <w:strike w:val="false"/>
                <w:color w:val="000000"/>
                <w:sz w:val="18"/>
                <w:szCs w:val="19"/>
              </w:rPr>
              <w:t xml:space="preserve"/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/>
                <w:u w:val="none"/>
                <w:strike w:val="false"/>
                <w:color w:val="000000"/>
                <w:sz w:val="18"/>
                <w:szCs w:val="19"/>
              </w:rPr>
              <w:t xml:space="preserve">AIC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4259.62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3000.7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4197.88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/>
                <w:u w:val="none"/>
                <w:strike w:val="false"/>
                <w:color w:val="000000"/>
                <w:sz w:val="18"/>
                <w:szCs w:val="19"/>
              </w:rPr>
              <w:t xml:space="preserve">BIC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4499.61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3240.7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4437.87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/>
                <w:u w:val="none"/>
                <w:strike w:val="false"/>
                <w:color w:val="000000"/>
                <w:sz w:val="18"/>
                <w:szCs w:val="19"/>
              </w:rPr>
              <w:t xml:space="preserve">Log-Likelihood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-2091.81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-1462.35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-2060.94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/>
                <w:u w:val="none"/>
                <w:strike w:val="false"/>
                <w:color w:val="000000"/>
                <w:sz w:val="18"/>
                <w:szCs w:val="19"/>
              </w:rPr>
              <w:t xml:space="preserve">Cluster Variance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0.0397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0.0364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/>
                <w:u w:val="none"/>
                <w:strike w:val="false"/>
                <w:color w:val="000000"/>
                <w:sz w:val="18"/>
                <w:szCs w:val="19"/>
              </w:rPr>
              <w:t xml:space="preserve">ICC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1.19%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1.09%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/>
                <w:u w:val="none"/>
                <w:strike w:val="false"/>
                <w:color w:val="000000"/>
                <w:sz w:val="18"/>
                <w:szCs w:val="19"/>
              </w:rPr>
              <w:t xml:space="preserve">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1.2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/>
                <w:u w:val="none"/>
                <w:strike w:val="false"/>
                <w:color w:val="000000"/>
                <w:sz w:val="18"/>
                <w:szCs w:val="19"/>
              </w:rPr>
              <w:t xml:space="preserve">LRT chi2 (p-value)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/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16.36 (p &lt; 0.001)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0.13 (p &lt; 0.001)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10.07 (p &lt; 0.001)</w:t>
            </w:r>
          </w:p>
        </w:tc>
      </w:tr>
    </w:tbl>
    <w:p>
      <w:pPr>
        <w:spacing w:before="120" w:after="0"/>
      </w:pPr>
      <w:r/>
      <w:r>
        <w:rPr>
          <w:rFonts w:ascii="Cambria" w:hAnsi="Cambria"/>
          <w:i w:val="0"/>
          <w:color w:val="000000"/>
          <w:sz w:val="17"/>
        </w:rPr>
        <w:t>Note: AOR = Adjusted Odds Ratio; CI = Confidence Interval; AIC = Akaike Information Criterion; BIC = Bayesian Information Criterion; ICC = Intraclass Correlation Coefficient; MOR = Median Odds Ratio. *, **, and *** indicate p &lt; 0.05, p &lt; 0.01, and p &lt; 0.001, respectively.</w:t>
      </w:r>
    </w:p>
    <w:sectPr>
      <w:pgMar w:header="708" w:bottom="1080" w:top="1080" w:right="1080" w:left="1080" w:footer="708" w:gutter="0"/>
      <w:pgSz w:h="15840" w:w="12240"/>
      <w:type w:val="continuous"/>
      <w:cols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2026-10-27T11:11:24Z</dcterms:modified>
  <cp:category/>
</cp:coreProperties>
</file>