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spacing w:before="0" w:after="120"/>
      </w:pPr>
      <w:r/>
      <w:r>
        <w:rPr>
          <w:rFonts w:ascii="Cambria" w:hAnsi="Cambria"/>
          <w:b/>
          <w:color w:val="000000"/>
          <w:sz w:val="22"/>
        </w:rPr>
        <w:t>Table S1: Parameter estimates of the sequential multilevel logistic regression models for child stunting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  <w:tblInd w:w="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160"/>
        <w:gridCol w:w="2088"/>
        <w:gridCol w:w="1944"/>
        <w:gridCol w:w="1944"/>
        <w:gridCol w:w="1944"/>
      </w:tblGrid>
      <w:tr>
        <w:trPr>
          <w:trHeight w:val="360" w:hRule="auto"/>
          <w:tblHeader/>
          <w:cantSplit/>
        </w:trPr>
        <w:tc>
          <w:tcPr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  <w:tcBorders>
              <w:bottom w:val="single" w:sz="6" w:space="0" w:color="000000"/>
              <w:top w:val="none"/>
              <w:left w:val="none"/>
              <w:right w:val="non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mbria" w:hAnsi="Cambria"/>
                <w:b/>
                <w:color w:val="000000"/>
                <w:sz w:val="19"/>
              </w:rPr>
              <w:t>Variable</w:t>
            </w:r>
          </w:p>
        </w:tc>
        <w:tc>
          <w:tcPr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  <w:tcBorders>
              <w:bottom w:val="single" w:sz="6" w:space="0" w:color="000000"/>
              <w:top w:val="none"/>
              <w:left w:val="none"/>
              <w:right w:val="non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mbria" w:hAnsi="Cambria"/>
                <w:b/>
                <w:color w:val="000000"/>
                <w:sz w:val="19"/>
              </w:rPr>
              <w:t>Category</w:t>
            </w:r>
          </w:p>
        </w:tc>
        <w:tc>
          <w:tcPr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  <w:tcBorders>
              <w:bottom w:val="single" w:sz="6" w:space="0" w:color="000000"/>
              <w:top w:val="none"/>
              <w:left w:val="none"/>
              <w:right w:val="non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b/>
                <w:color w:val="000000"/>
                <w:sz w:val="19"/>
              </w:rPr>
              <w:t>Model I</w:t>
            </w:r>
          </w:p>
        </w:tc>
        <w:tc>
          <w:tcPr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  <w:tcBorders>
              <w:bottom w:val="single" w:sz="6" w:space="0" w:color="000000"/>
              <w:top w:val="none"/>
              <w:left w:val="none"/>
              <w:right w:val="non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b/>
                <w:color w:val="000000"/>
                <w:sz w:val="19"/>
              </w:rPr>
              <w:t>Model II</w:t>
            </w:r>
          </w:p>
        </w:tc>
        <w:tc>
          <w:tcPr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  <w:tcBorders>
              <w:bottom w:val="single" w:sz="6" w:space="0" w:color="000000"/>
              <w:top w:val="none"/>
              <w:left w:val="none"/>
              <w:right w:val="non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b/>
                <w:color w:val="000000"/>
                <w:sz w:val="19"/>
              </w:rPr>
              <w:t>Model III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Child age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0-11 months (Ref)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Child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12-23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2.36 (1.84-3.03)***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2.37 (1.84-3.04)***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2.38 (1.85-3.06)***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Child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24-35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2.20 (1.71-2.84)***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2.25 (1.75-2.90)***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2.25 (1.75-2.90)***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Child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36-47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1.85 (1.42-2.40)***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1.87 (1.44-2.43)***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1.87 (1.44-2.43)***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Child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48-59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1.68 (1.28-2.21)***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1.70 (1.29-2.23)***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1.69 (1.29-2.22)***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Birth 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First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Birth 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Second/third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1.12 (0.79-1.58)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1.15 (0.81-1.63)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1.19 (0.84-1.68)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Birth 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Fourth or more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1.09 (0.54-2.23)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1.08 (0.53-2.22)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1.11 (0.54-2.28)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Mother's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15-19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Mother's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20-24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1.19 (0.87-1.62)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1.18 (0.86-1.61)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1.16 (0.85-1.58)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Mother's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25-29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1.05 (0.74-1.50)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1.09 (0.76-1.54)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1.06 (0.74-1.50)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Mother's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30-34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0.89 (0.60-1.30)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0.98 (0.67-1.43)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0.96 (0.65-1.41)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Mother's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35-39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0.79 (0.51-1.23)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0.89 (0.57-1.38)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0.88 (0.57-1.37)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Mother's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40-49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0.63 (0.33-1.19)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0.72 (0.38-1.36)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0.70 (0.37-1.33)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Mother's education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No education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Mother's education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0.64 (0.48-0.87)**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0.69 (0.51-0.93)*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0.69 (0.51-0.94)*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Mother's education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0.44 (0.33-0.59)***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0.55 (0.41-0.74)***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0.58 (0.43-0.78)***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Mother's education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0.24 (0.17-0.34)***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0.36 (0.25-0.52)***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0.38 (0.26-0.56)***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Children ever 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0-1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Children ever 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2-3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0.88 (0.40-1.95)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0.75 (0.34-1.65)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0.69 (0.31-1.53)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Children ever 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4+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1.61 (0.55-4.69)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1.32 (0.45-3.86)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1.20 (0.41-3.52)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Currently pregnant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No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Currently pregnant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1.16 (0.82-1.64)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1.14 (0.80-1.62)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1.12 (0.79-1.59)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Number of living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0-1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Number of living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2-3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1.14 (0.56-2.32)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1.29 (0.64-2.64)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1.37 (0.67-2.79)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Number of living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4+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1.24 (0.52-2.94)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1.38 (0.58-3.29)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1.45 (0.61-3.47)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Wealth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Poor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Wealth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0.89 (0.70-1.14)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0.88 (0.69-1.13)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Wealth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Rich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0.66 (0.47-0.92)*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0.64 (0.46-0.89)**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Toilet facility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Unimproved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Toilet facility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Improved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0.81 (0.67-0.98)*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0.82 (0.67-0.99)*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Electricity in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No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Electricity in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1.16 (0.85-1.58)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1.16 (0.85-1.59)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Owns TV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No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Owns TV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0.98 (0.82-1.17)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1.01 (0.84-1.21)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Owns refrigerator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No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Owns refrigerator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0.82 (0.68-1.00)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0.82 (0.67-1.00)*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Owns Bicycle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No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Owns Bicycle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0.83 (0.68-1.02)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0.90 (0.73-1.11)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Floor material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Unimproved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Floor material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Improved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0.87 (0.67-1.12)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0.84 (0.65-1.09)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Wall material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Unimproved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Wall material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Improved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1.13 (0.90-1.42)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1.12 (0.89-1.41)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Region/Division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Barisal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Region/Division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Chittagong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0.99 (0.74-1.33)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Region/Division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Dhaka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1.01 (0.73-1.38)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Region/Division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Khulna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0.88 (0.62-1.25)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Region/Division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Rajshahi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1.01 (0.74-1.39)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Region/Division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Rangpur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0.87 (0.61-1.24)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Region/Division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Sylhet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0.85 (0.61-1.19)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Region/Division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Mymensingh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1.28 (0.94-1.75)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Type of 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Urban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1.00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Type of 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0.92 (0.76-1.11)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/>
                <w:u w:val="none"/>
                <w:strike w:val="false"/>
                <w:color w:val="000000"/>
                <w:sz w:val="18"/>
                <w:szCs w:val="19"/>
              </w:rPr>
              <w:t xml:space="preserve">Random-Effect &amp; Fit Statistics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tru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tru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tru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tru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/>
                <w:u w:val="none"/>
                <w:strike w:val="false"/>
                <w:color w:val="000000"/>
                <w:sz w:val="18"/>
                <w:szCs w:val="19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4289.62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4252.52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4259.62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/>
                <w:u w:val="none"/>
                <w:strike w:val="false"/>
                <w:color w:val="000000"/>
                <w:sz w:val="18"/>
                <w:szCs w:val="19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4422.25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4441.99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4499.61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/>
                <w:u w:val="none"/>
                <w:strike w:val="false"/>
                <w:color w:val="000000"/>
                <w:sz w:val="18"/>
                <w:szCs w:val="19"/>
              </w:rPr>
              <w:t xml:space="preserve">Log-Likelihood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-2123.81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-2096.26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-2091.81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/>
                <w:u w:val="none"/>
                <w:strike w:val="false"/>
                <w:color w:val="000000"/>
                <w:sz w:val="18"/>
                <w:szCs w:val="19"/>
              </w:rPr>
              <w:t xml:space="preserve">Cluster Variance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0.0992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0.0511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0.0397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/>
                <w:u w:val="none"/>
                <w:strike w:val="false"/>
                <w:color w:val="000000"/>
                <w:sz w:val="18"/>
                <w:szCs w:val="19"/>
              </w:rPr>
              <w:t xml:space="preserve">ICC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2.93%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1.53%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1.19%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/>
                <w:u w:val="none"/>
                <w:strike w:val="false"/>
                <w:color w:val="000000"/>
                <w:sz w:val="18"/>
                <w:szCs w:val="19"/>
              </w:rPr>
              <w:t xml:space="preserve">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>1.21</w:t>
            </w:r>
          </w:p>
        </w:tc>
      </w:tr>
      <w:tr>
        <w:trPr>
          <w:trHeight w:val="360" w:hRule="auto"/>
          <w:cantSplit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160" w:type="dxa"/>
            <w:shd w:fill="FFFFFF" w:val="clear"/>
          </w:tcPr>
          <w:p>
            <w:pPr>
              <w:spacing w:before="20" w:after="20" w:line="264" w:lineRule="auto"/>
              <w:jc w:val="left"/>
            </w:pPr>
            <w:r>
              <w:rPr>
                <w:rFonts w:ascii="Cambria" w:hAnsi="Cambria"/>
                <w:b/>
                <w:color w:val="000000"/>
                <w:sz w:val="18"/>
              </w:rPr>
              <w:t>LRT chi2 (p-value)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88" w:type="dxa"/>
            <w:shd w:fill="FFFFFF" w:val="clea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64" w:lineRule="auto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color w:val="000000"/>
                <w:sz w:val="18"/>
                <w:szCs w:val="19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1944" w:type="dxa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16.36 (p &lt; 0.001)</w:t>
            </w:r>
          </w:p>
        </w:tc>
      </w:tr>
    </w:tbl>
    <w:p>
      <w:pPr>
        <w:spacing w:before="120" w:after="0"/>
      </w:pPr>
      <w:r/>
      <w:r>
        <w:rPr>
          <w:rFonts w:ascii="Cambria" w:hAnsi="Cambria"/>
          <w:i w:val="0"/>
          <w:color w:val="000000"/>
          <w:sz w:val="17"/>
        </w:rPr>
        <w:t>Note: Model I = Individual maternal and child variables; Model II = Individual + household variables; Model III = Individual + household + community variables. AOR = Adjusted Odds Ratio; CI = Confidence Interval; AIC = Akaike Information Criterion; BIC = Bayesian Information Criterion; ICC = Intraclass Correlation Coefficient; MOR = Median Odds Ratio; LRT = Likelihood Ratio Test comparing random-intercept null model vs single-level logistic regression (df = 1). *, **, and *** indicate p &lt; 0.05, p &lt; 0.01, and p &lt; 0.001, respectively.</w:t>
      </w:r>
    </w:p>
    <w:sectPr>
      <w:pgMar w:header="708" w:bottom="1080" w:top="1080" w:right="1080" w:left="1080" w:footer="708" w:gutter="0"/>
      <w:pgSz w:h="15840" w:w="12240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2026-10-27T11:11:27Z</dcterms:modified>
  <cp:category/>
</cp:coreProperties>
</file>