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pacing w:before="0" w:after="120"/>
      </w:pPr>
      <w:r/>
      <w:r>
        <w:rPr>
          <w:rFonts w:ascii="Cambria" w:hAnsi="Cambria"/>
          <w:b/>
          <w:color w:val="000000"/>
          <w:sz w:val="22"/>
        </w:rPr>
        <w:t>Table S4: Multicollinearity diagnostic statistics (Generalized Variance Inflation Factors)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  <w:tblInd w:w="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744"/>
        <w:gridCol w:w="2015"/>
        <w:gridCol w:w="2015"/>
        <w:gridCol w:w="2304"/>
      </w:tblGrid>
      <w:tr>
        <w:trPr>
          <w:trHeight w:val="360" w:hRule="auto"/>
          <w:tblHeader/>
          <w:cantSplit/>
        </w:trPr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3744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b/>
                <w:color w:val="000000"/>
                <w:sz w:val="19"/>
              </w:rPr>
              <w:t>Variable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GVIF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015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df</w:t>
            </w:r>
          </w:p>
        </w:tc>
        <w:tc>
          <w:tcPr>
            <w:tcMar>
              <w:top w:w="0" w:type="dxa"/>
              <w:bottom w:w="0" w:type="dxa"/>
              <w:left w:w="0" w:type="dxa"/>
              <w:right w:w="0" w:type="dxa"/>
            </w:tcMar>
            <w:vAlign w:val="center"/>
            <w:tcW w:w="2304" w:type="dxa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b/>
                <w:color w:val="000000"/>
                <w:sz w:val="19"/>
              </w:rPr>
              <w:t>Adjusted GVIF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Child age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1.248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4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1.028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Birth order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33.373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2.403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Mother's age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2.517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5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1.097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Mother's education level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1.515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3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1.072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Children ever born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228.649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3.887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Currently pregnant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1.058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1.029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Number of living children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80.746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2.997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Wealth index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3.759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1.392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Toilet facility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1.457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1.207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Electricity in household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1.777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1.333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Owns TV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1.407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1.186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Owns refrigerator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1.710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1.308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Owns Bicycle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1.179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1.086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Floor material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2.748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1.658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Wall material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2.205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1.485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Region/Division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1.610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7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1.034</w:t>
            </w:r>
          </w:p>
        </w:tc>
      </w:tr>
      <w:tr>
        <w:trPr>
          <w:cantSplit/>
        </w:trPr>
        <w:tc>
          <w:tcPr>
            <w:tcW w:type="dxa" w:w="3744"/>
            <w:shd w:fill="FFFFFF" w:val="clear"/>
          </w:tcPr>
          <w:p>
            <w:pPr>
              <w:spacing w:before="20" w:after="20" w:line="264" w:lineRule="auto"/>
              <w:jc w:val="left"/>
            </w:pPr>
            <w:r>
              <w:rPr>
                <w:rFonts w:ascii="Cambria" w:hAnsi="Cambria"/>
                <w:color w:val="000000"/>
                <w:sz w:val="18"/>
              </w:rPr>
              <w:t>Type of residence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1.228</w:t>
            </w:r>
          </w:p>
        </w:tc>
        <w:tc>
          <w:tcPr>
            <w:tcW w:type="dxa" w:w="2015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</w:t>
            </w:r>
          </w:p>
        </w:tc>
        <w:tc>
          <w:tcPr>
            <w:tcW w:type="dxa" w:w="2304"/>
            <w:shd w:fill="FFFFFF" w:val="clear"/>
          </w:tcPr>
          <w:p>
            <w:pPr>
              <w:spacing w:before="20" w:after="20" w:line="264" w:lineRule="auto"/>
              <w:jc w:val="center"/>
            </w:pPr>
            <w:r>
              <w:rPr>
                <w:rFonts w:ascii="Cambria" w:hAnsi="Cambria"/>
                <w:color w:val="000000"/>
                <w:sz w:val="18"/>
              </w:rPr>
              <w:t>1.108</w:t>
            </w:r>
          </w:p>
        </w:tc>
      </w:tr>
    </w:tbl>
    <w:p>
      <w:pPr>
        <w:pStyle w:val="Normal"/>
      </w:pPr>
      <w:r>
        <w:t xml:space="preserve"/>
      </w:r>
    </w:p>
    <w:p>
      <w:pPr>
        <w:spacing w:before="120" w:after="0"/>
      </w:pPr>
      <w:r/>
      <w:r>
        <w:rPr>
          <w:rFonts w:ascii="Cambria" w:hAnsi="Cambria"/>
          <w:i w:val="0"/>
          <w:color w:val="000000"/>
          <w:sz w:val="17"/>
        </w:rPr>
        <w:t>Note: GVIF = Generalized Variance Inflation Factor; df = degrees of freedom; Adjusted GVIF = GVIF^(1/(2*df)). An Adjusted GVIF below 2.24 (equivalent to VIF &lt; 5) indicates negligible multicollinearity, as observed for all socioeconomic, environmental, and geographic covariates. Moderate collinearity was observed exclusively among interrelated fertility measures (Children Ever Born [Adjusted GVIF = 3.887], Living Children [Adjusted GVIF = 2.997], and Birth Order [Adjusted GVIF = 2.403]), reflecting 96.6% empirical concordance in BDHS 2022.</w:t>
      </w:r>
    </w:p>
    <w:sectPr>
      <w:pgMar w:header="708" w:bottom="1080" w:top="1080" w:right="1080" w:left="1080" w:footer="708" w:gutter="0"/>
      <w:pgSz w:h="15840" w:w="12240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2026-10-27T11:11:37Z</dcterms:modified>
  <cp:category/>
</cp:coreProperties>
</file>