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360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STROBE Statement—Checklist of items that should be included in reports of cross-sectional studies</w:t>
      </w:r>
    </w:p>
    <w:p>
      <w:pPr>
        <w:spacing w:after="240" w:line="360" w:lineRule="auto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Manuscript: Multilevel Determinants of Under-Five Child Undernutrition in Bangladesh: A Nationally Representative Cross-Sectional Study from the Bangladesh Demographic and Health Survey 2022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2060"/>
          <w:bottom w:val="single" w:sz="6" w:space="0" w:color="002060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936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8" w:color="auto"/>
              <w:bottom w:val="single" w:sz="6" w:color="auto"/>
              <w:left w:val="none"/>
              <w:right w:val="none"/>
            </w:tcBorders>
            <w:shd w:fill="F2F4F8"/>
          </w:tcPr>
          <w:p>
            <w:pPr>
              <w:jc w:val="left"/>
            </w:pPr>
            <w:r>
              <w:rPr>
                <w:rFonts w:ascii="Cambria" w:hAnsi="Cambria"/>
                <w:b/>
                <w:color w:val="002060"/>
                <w:sz w:val="20"/>
              </w:rPr>
              <w:t>Item No.</w:t>
            </w:r>
          </w:p>
        </w:tc>
        <w:tc>
          <w:tcPr>
            <w:tcW w:type="dxa" w:w="2088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8" w:color="auto"/>
              <w:bottom w:val="single" w:sz="6" w:color="auto"/>
              <w:left w:val="none"/>
              <w:right w:val="none"/>
            </w:tcBorders>
            <w:shd w:fill="F2F4F8"/>
          </w:tcPr>
          <w:p>
            <w:pPr>
              <w:jc w:val="left"/>
            </w:pPr>
            <w:r>
              <w:rPr>
                <w:rFonts w:ascii="Cambria" w:hAnsi="Cambria"/>
                <w:b/>
                <w:color w:val="002060"/>
                <w:sz w:val="20"/>
              </w:rPr>
              <w:t>Recommendation Section</w:t>
            </w:r>
          </w:p>
        </w:tc>
        <w:tc>
          <w:tcPr>
            <w:tcW w:type="dxa" w:w="3384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8" w:color="auto"/>
              <w:bottom w:val="single" w:sz="6" w:color="auto"/>
              <w:left w:val="none"/>
              <w:right w:val="none"/>
            </w:tcBorders>
            <w:shd w:fill="F2F4F8"/>
          </w:tcPr>
          <w:p>
            <w:pPr>
              <w:jc w:val="left"/>
            </w:pPr>
            <w:r>
              <w:rPr>
                <w:rFonts w:ascii="Cambria" w:hAnsi="Cambria"/>
                <w:b/>
                <w:color w:val="002060"/>
                <w:sz w:val="20"/>
              </w:rPr>
              <w:t>STROBE Recommendation Details</w:t>
            </w:r>
          </w:p>
        </w:tc>
        <w:tc>
          <w:tcPr>
            <w:tcW w:type="dxa" w:w="3384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8" w:color="auto"/>
              <w:bottom w:val="single" w:sz="6" w:color="auto"/>
              <w:left w:val="none"/>
              <w:right w:val="none"/>
            </w:tcBorders>
            <w:shd w:fill="F2F4F8"/>
          </w:tcPr>
          <w:p>
            <w:pPr>
              <w:jc w:val="left"/>
            </w:pPr>
            <w:r>
              <w:rPr>
                <w:rFonts w:ascii="Cambria" w:hAnsi="Cambria"/>
                <w:b/>
                <w:color w:val="002060"/>
                <w:sz w:val="20"/>
              </w:rPr>
              <w:t>Reported in Manuscript (Section, Page, Lines)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Title and abstract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Indicate the study's design with a commonly used term in the title or the abstract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Title, Page 1, Lines 1–3; Abstract (Methods), Page 1, Lines 12–15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(b) Provide in the abstract an informative and balanced summary of what was done and what was found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Abstract, Page 1, Lines 7–36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2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Background / rationale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Explain the scientific background and rationale for the investigation being reported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'Introduction', Pages 2–4, Lines 56–122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3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Objectives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State specific objectives, including any prespecified hypotheses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'Introduction', Pages 4–5, Lines 123–138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4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Study design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Present key elements of study design early in the paper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140–164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5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Setting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140–154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6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Participants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Give the eligibility criteria, and the sources and methods of selection of participants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150–164; Figure 2,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7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Variables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Clearly define all outcomes, exposures, predictors, potential confounders, and effect modifiers. Give diagnostic criteria, if applicable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'Outcome Variables', Pages 6–7, Lines 178–188; Section 'Explanatory Variables and conceptual Justification', Page 7, Lines 189–220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8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Data sources / measurement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For each variable of interest, give sources of data and details of methods of assessment (measurement). Give comparability of assessment methods if there is more than one group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140–154; Section 'Outcome Variables', Pages 6–7, Lines 178–188; Section 'Explanatory Variables', Page 7, Lines 189–220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9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Bias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Describe any efforts to address potential sources of bias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161–164; Section 'Discussion' (Strengths and limitations), Pages 19–20, Lines 443–454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10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Study size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Explain how the study size was arrived at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140–164; Figure 2,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11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Quantitative variables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Explain how quantitative variables were handled in the analyses. If applicable, describe which groupings were chosen and why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'Outcome Variables', Pages 6–7, Lines 178–188; Section 'Explanatory Variables and conceptual Justification', Page 7, Lines 189–220; Table 1, Pages 9–11, Line 281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12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Statistical methods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Describe all statistical methods, including those used to control for confounding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'Statistical analysis', Pages 7–8, Lines 221–231; Section 'Multilevel logistic regression using a frequentist approach', Page 8, Lines 232–251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(b) Describe any methods used to examine subgroups and interactions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'Statistical analysis', Pages 7–8, Lines 221–231; Section 'Multilevel logistic regression using a frequentist approach', Page 8, Lines 232–251; Table 1 &amp; Table 2, Pages 9–12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(c) Explain how missing data were addressed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161–164; Figure 2,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(d) If applicable, describe analytical methods taking account of sampling strategy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'Statistical analysis' (Survey weighting, stratification, PSU clustering), Pages 7–8, Lines 221–231; Section 'Multilevel logistic regression', Page 8, Lines 232–251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(e) Describe any sensitivity analyses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'Multilevel logistic regression using a frequentist approach', Page 8, Lines 232–251; Adjusted GVIF multicollinearity diagnostic, Page 7, Lines 212–219; Supplementary Tables S1–S4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13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Participants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Report numbers of individuals at each stage of study—eg numbers potentially eligible, examined for eligibility, confirmed eligible, included in the study, completing follow-up, and analysed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150–164; Figure 2,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(b) Give reasons for non-participation at each stage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155–164; Figure 2,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(c) Consider use of a flow diagram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Figure 2 (STROBE participant selection flow diagram), Page 6, Lines 165–167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14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Descriptive data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Give characteristics of study participants (eg demographic, clinical, social) and information on exposures and potential confounders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'Prevalence of Child Undernutrition', Pages 8–9, Lines 253–280; Table 1, Pages 9–11, Line 281; Figure 3, Page 9, Lines 275–280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(b) Indicate number of participants with missing data for each variable of interest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'Study Design, Sampling, and Analytical Sample', Page 5, Lines 155–164; Figure 2, Page 6, Lines 165–167 (Complete-case sample N = 4,087)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15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Outcome data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Report numbers of outcome events or summary measures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'Prevalence of Child Undernutrition', Pages 8–9, Lines 253–280; Table 1, Pages 9–11, Line 281; Figure 3, Page 9, Lines 275–280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16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Main results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(a) Give unadjusted estimates and, if applicable, confounder-adjusted estimates and their precision (eg, 95% confidence interval). Make clear which confounders were adjusted for and why they were included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'Bivariate analysis' &amp; Table 2, Page 12, Lines 285–300; Sections 3.3–3.6, Pages 13–14, Lines 301–351; Table 3, Pages 14–17, Lines 352–354; Supplementary Tables S1–S3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(b) Report category boundaries when continuous variables were categorized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'Explanatory Variables and conceptual Justification', Page 7, Lines 189–220; Table 1, Pages 9–11, Line 281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(c) If relevant, consider translating estimates of relative risk into absolute risk for a meaningful time period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i/>
                <w:color w:val="7030A0"/>
                <w:sz w:val="18"/>
              </w:rPr>
              <w:t>Not Applicable (Cross-sectional study reporting survey-weighted adjusted odds ratios [AORs] with 95% CIs and absolute prevalence proportions; cohort relative risk translation does not apply)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17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Other analyses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Report other analyses done—eg analyses of subgroups and interactions, and sensitivity analyses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'Multilevel logistic regression analysis', Pages 13–14, Lines 301–314; Supplementary Tables S1–S3 (sequential Models 0, I, II, III for stunting, wasting, underweight); Table S4 (adjusted GVIF multicollinearity analysis)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18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Key results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Summarise key results with reference to study objectives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'Discussion', Pages 17–19, Lines 355–442; Section 'Conclusion', Page 20, Lines 455–467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19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Limitations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Discuss limitations of the study, taking into account sources of potential bias or imprecision. Discuss both direction and magnitude of any potential bias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'Discussion' (Strengths and limitations), Pages 19–20, Lines 443–454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20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Interpretation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'Discussion', Pages 17–20, Lines 355–454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21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Generalisability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Discuss the generalisability (external validity) of the study results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'Discussion' (Strengths and limitations), Pages 19–20, Lines 443–454</w:t>
            </w:r>
          </w:p>
        </w:tc>
      </w:tr>
      <w:tr>
        <w:tc>
          <w:tcPr>
            <w:tcW w:type="dxa" w:w="93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single" w:sz="8" w:color="auto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/>
                <w:sz w:val="18"/>
              </w:rPr>
              <w:t>22</w:t>
            </w:r>
          </w:p>
        </w:tc>
        <w:tc>
          <w:tcPr>
            <w:tcW w:type="dxa" w:w="208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single" w:sz="8" w:color="auto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Funding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single" w:sz="8" w:color="auto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sz w:val="18"/>
              </w:rPr>
              <w:t>Give the source of funding and the role of the funders for the present study and, if applicable, for the original study on which the present article is based</w:t>
            </w:r>
          </w:p>
        </w:tc>
        <w:tc>
          <w:tcPr>
            <w:tcW w:type="dxa" w:w="338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none"/>
              <w:bottom w:val="single" w:sz="8" w:color="auto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Cambria" w:hAnsi="Cambria"/>
                <w:b w:val="0"/>
                <w:sz w:val="18"/>
              </w:rPr>
              <w:t>Section 'Declarations' (Funding statement), Page 21, Lines 488–489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