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 xml:space="preserve">To quantify the functional regulatory effect of each enhancer perturbation, we implemented a </w:t>
      </w:r>
      <w:proofErr w:type="spellStart"/>
      <w:r>
        <w:t>vectorized</w:t>
      </w:r>
      <w:proofErr w:type="spellEnd"/>
      <w:r>
        <w:t xml:space="preserve"> two-sample Welch </w:t>
      </w:r>
      <w:r>
        <w:rPr>
          <w:i/>
        </w:rPr>
        <w:t>t</w:t>
      </w:r>
      <w:r>
        <w:t>-test comparing cells expressing an enhancer-targeting sgRNA against the unassigned control cell cohort. For every enhancer-gene pair (e, j), the differential effect size (log</w:t>
      </w:r>
      <w:r>
        <w:rPr>
          <w:vertAlign w:val="subscript"/>
        </w:rPr>
        <w:t>2</w:t>
      </w:r>
      <w:r>
        <w:t xml:space="preserve"> fold change) and Welch </w:t>
      </w:r>
      <w:r>
        <w:rPr>
          <w:i/>
        </w:rPr>
        <w:t>t</w:t>
      </w:r>
      <w:r>
        <w:t xml:space="preserve">-statistic </w:t>
      </w:r>
      <w:proofErr w:type="gramStart"/>
      <w:r>
        <w:t>were computed</w:t>
      </w:r>
      <w:proofErr w:type="gramEnd"/>
      <w:r>
        <w:t xml:space="preserve">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 xml:space="preserve">In accordance with Judea Pearl’s structural causal frameworks and Invariant Causal Prediction theory (Hauser &amp; </w:t>
      </w:r>
      <w:proofErr w:type="spellStart"/>
      <w:r>
        <w:t>Bühlmann</w:t>
      </w:r>
      <w:proofErr w:type="spellEnd"/>
      <w:r>
        <w:t>, 2012; Pearl, 2009; Peters et al., 2016, 2017), our framework reconstructs bipartite regulatory circuits by enforcing two orthogonal biological evidence layers: (</w:t>
      </w:r>
      <w:proofErr w:type="spellStart"/>
      <w:r>
        <w:t>i</w:t>
      </w:r>
      <w:proofErr w:type="spellEnd"/>
      <w:r>
        <w:t xml:space="preserve">) physical biological plausibility: transcription factor </w:t>
      </w:r>
      <w:proofErr w:type="spellStart"/>
      <w:r>
        <w:t>i</w:t>
      </w:r>
      <w:proofErr w:type="spellEnd"/>
      <w:r>
        <w:t xml:space="preserve"> physically occupies enhancer locus e based on ENCODE </w:t>
      </w:r>
      <w:proofErr w:type="spellStart"/>
      <w:r>
        <w:t>Factorbook</w:t>
      </w:r>
      <w:proofErr w:type="spellEnd"/>
      <w:r>
        <w:t xml:space="preserve"> </w:t>
      </w:r>
      <w:proofErr w:type="spellStart"/>
      <w:r>
        <w:t>ChIP</w:t>
      </w:r>
      <w:proofErr w:type="spellEnd"/>
      <w:r>
        <w:t xml:space="preserve">-seq; and (ii) functional interventional causality: targeted </w:t>
      </w:r>
      <w:proofErr w:type="spellStart"/>
      <w:r>
        <w:t>CRISPRi</w:t>
      </w:r>
      <w:proofErr w:type="spellEnd"/>
      <w:r>
        <w:t xml:space="preserve"> repression of enhancer e (P(Y | do(</w:t>
      </w:r>
      <w:proofErr w:type="spellStart"/>
      <w:r>
        <w:t>Enhancer</w:t>
      </w:r>
      <w:r>
        <w:rPr>
          <w:i/>
          <w:vertAlign w:val="subscript"/>
        </w:rPr>
        <w:t>e</w:t>
      </w:r>
      <w:proofErr w:type="spellEnd"/>
      <w:r>
        <w:t xml:space="preserv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prioritizing master transcription factors whose physical binding events converge upon functionally responsive enhancers. For all valid tripartite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xml:space="preserve">), the triangulated causal regulatory weight </w:t>
      </w:r>
      <w:proofErr w:type="gramStart"/>
      <w:r>
        <w:t>was computed</w:t>
      </w:r>
      <w:proofErr w:type="gramEnd"/>
      <w:r>
        <w:t xml:space="preserve">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 xml:space="preserve">where </w:t>
      </w:r>
      <w:proofErr w:type="spellStart"/>
      <w:r>
        <w:rPr>
          <w:i/>
        </w:rPr>
        <w:t>g</w:t>
      </w:r>
      <w:r>
        <w:rPr>
          <w:i/>
          <w:vertAlign w:val="subscript"/>
        </w:rPr>
        <w:t>j</w:t>
      </w:r>
      <w:proofErr w:type="spellEnd"/>
      <w:r>
        <w:t xml:space="preserve"> and </w:t>
      </w:r>
      <w:proofErr w:type="spellStart"/>
      <w:r>
        <w:rPr>
          <w:i/>
        </w:rPr>
        <w:t>h</w:t>
      </w:r>
      <w:r>
        <w:rPr>
          <w:i/>
          <w:vertAlign w:val="subscript"/>
        </w:rPr>
        <w:t>j</w:t>
      </w:r>
      <w:proofErr w:type="spellEnd"/>
      <w:r>
        <w:t xml:space="preserve"> represent first- and second-order gradient statistics, Ω(</w:t>
      </w:r>
      <w:proofErr w:type="spellStart"/>
      <w:r>
        <w:rPr>
          <w:i/>
        </w:rPr>
        <w:t>f</w:t>
      </w:r>
      <w:r>
        <w:rPr>
          <w:i/>
          <w:vertAlign w:val="subscript"/>
        </w:rPr>
        <w:t>t</w:t>
      </w:r>
      <w:proofErr w:type="spellEnd"/>
      <w:r>
        <w:t xml:space="preserve">) is the tree complexity penalization term, and </w:t>
      </w:r>
      <w:proofErr w:type="spellStart"/>
      <w:r>
        <w:t>φ</w:t>
      </w:r>
      <w:r>
        <w:rPr>
          <w:i/>
          <w:vertAlign w:val="subscript"/>
        </w:rPr>
        <w:t>i</w:t>
      </w:r>
      <w:proofErr w:type="spellEnd"/>
      <w:r>
        <w:t xml:space="preserve">(x) represents the exact Shapley attribution value for transcription factor </w:t>
      </w:r>
      <w:proofErr w:type="spellStart"/>
      <w:r>
        <w:rPr>
          <w:i/>
        </w:rPr>
        <w:t>i</w:t>
      </w:r>
      <w:proofErr w:type="spellEnd"/>
      <w:r>
        <w:t xml:space="preserve"> across feature set </w:t>
      </w:r>
      <w:r>
        <w:rPr>
          <w:i/>
        </w:rPr>
        <w:t>F</w:t>
      </w:r>
      <w:r>
        <w:t xml:space="preserve"> computed via the </w:t>
      </w:r>
      <w:proofErr w:type="spellStart"/>
      <w:r>
        <w:t>TreeExplainer</w:t>
      </w:r>
      <w:proofErr w:type="spellEnd"/>
      <w:r>
        <w:t xml:space="preserve"> algorithm (Lundberg &amp; Lee, 2017; Lundberg et al., 2020). SHAP dependency plots </w:t>
      </w:r>
      <w:proofErr w:type="gramStart"/>
      <w:r>
        <w:t>were generated</w:t>
      </w:r>
      <w:proofErr w:type="gramEnd"/>
      <w:r>
        <w:t xml:space="preserve"> to decode non-linear threshold effects and cooperative interactions. The core tripartite network </w:t>
      </w:r>
      <w:proofErr w:type="gramStart"/>
      <w:r>
        <w:t>was visualized</w:t>
      </w:r>
      <w:proofErr w:type="gramEnd"/>
      <w:r>
        <w:t xml:space="preserve"> via </w:t>
      </w:r>
      <w:proofErr w:type="spellStart"/>
      <w:r>
        <w:t>PyVis</w:t>
      </w:r>
      <w:proofErr w:type="spellEnd"/>
      <w:r>
        <w:t xml:space="preserve">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rFonts w:ascii="Times New Roman" w:hAnsi="Times New Roman"/>
          <w:sz w:val="22"/>
        </w:rPr>
        <w:t>Triangulating physical ChIP-seq binding priors with functional CRISPRi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1)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rFonts w:ascii="Times New Roman" w:hAnsi="Times New Roman"/>
          <w:sz w:val="22"/>
        </w:rPr>
        <w:t>Topological network centrality and directed Google directed Google PageRank scoring (damping factor α = 0.85; Section 2.5)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MSigDB Hallmark gene set enrichment analysis of their downstream regulons demonstrated profound overrepresentation of key oncogenic pathways: Epithelial-Mesenchymal Transition (EMT; p = 1.2 × 10-9), E2F Targets (p = 4.5 × 10-8), G2M Checkpoint (p = 8.1 × 10-7), and Hypoxia (p = 3.4 × 10-5)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rPr>
          <w:rFonts w:ascii="Times New Roman" w:hAnsi="Times New Roman"/>
          <w:b w:val="0"/>
          <w:i w:val="0"/>
          <w:color w:val="333333"/>
          <w:sz w:val="22"/>
        </w:rP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rsidR="000E6725" w:rsidRDefault="004B7759" w:rsidP="00BC6625">
      <w:pPr>
        <w:keepNext/>
        <w:spacing w:before="320" w:after="80"/>
        <w:jc w:val="left"/>
      </w:pPr>
      <w:r>
        <w:rPr>
          <w:b/>
          <w:sz w:val="28"/>
        </w:rPr>
        <w:t>5.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p w:rsidR="000E6725" w:rsidRDefault="004B7759">
      <w:pPr>
        <w:keepNext/>
        <w:spacing w:before="320" w:after="80"/>
        <w:jc w:val="left"/>
      </w:pPr>
      <w:r>
        <w:rPr>
          <w:b/>
          <w:sz w:val="28"/>
        </w:rPr>
        <w:t>6. Supplementary Information &amp; Document Submission Specification</w:t>
      </w:r>
    </w:p>
    <w:p w:rsidR="000E6725" w:rsidRDefault="004B7759">
      <w:r>
        <w:t>To ensure complete compliance with international journal submission guidelines (e.g., Nature Communications, Genome Biology, Cancer Research) and to facilitate seamless peer review and reproducibility, all supplementary materials, checklists, data tables, and interactive visualization files have been systematically compiled. The table below provides an exact submission mapping, specifying the file name, document title, content summary, and designated submission portal destination for each accompanying file.</w:t>
      </w:r>
    </w:p>
    <w:p w:rsidR="000E6725" w:rsidRDefault="004B7759">
      <w:pPr>
        <w:keepNext/>
        <w:spacing w:before="200" w:after="40"/>
        <w:jc w:val="left"/>
      </w:pPr>
      <w:r>
        <w:rPr>
          <w:b/>
          <w:sz w:val="21"/>
        </w:rPr>
        <w:t>Table 8. Comprehensive submission guide for manuscript supplementary information, checklists, tables, and code archives.</w:t>
      </w:r>
    </w:p>
    <w:tbl>
      <w:tblPr>
        <w:tblW w:w="0" w:type="auto"/>
        <w:jc w:val="center"/>
        <w:tblLook w:val="04A0" w:firstRow="1" w:lastRow="0" w:firstColumn="1" w:lastColumn="0" w:noHBand="0" w:noVBand="1"/>
      </w:tblPr>
      <w:tblGrid>
        <w:gridCol w:w="1313"/>
        <w:gridCol w:w="3924"/>
        <w:gridCol w:w="1529"/>
        <w:gridCol w:w="2594"/>
      </w:tblGrid>
      <w:tr w:rsidR="000E6725">
        <w:trPr>
          <w:jc w:val="center"/>
        </w:trPr>
        <w:tc>
          <w:tcPr>
            <w:tcW w:w="1728"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Item / Type</w:t>
            </w:r>
          </w:p>
        </w:tc>
        <w:tc>
          <w:tcPr>
            <w:tcW w:w="2016"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File Name</w:t>
            </w:r>
          </w:p>
        </w:tc>
        <w:tc>
          <w:tcPr>
            <w:tcW w:w="3312"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Detailed Content &amp; Scientific Purpose</w:t>
            </w:r>
          </w:p>
        </w:tc>
        <w:tc>
          <w:tcPr>
            <w:tcW w:w="2304"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Mandatory Submission Destination</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1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Supplementary_Information.docx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Supplementary Notes 1–5 (Theoretical Causal DAG </w:t>
            </w:r>
            <w:proofErr w:type="spellStart"/>
            <w:r>
              <w:rPr>
                <w:sz w:val="18"/>
              </w:rPr>
              <w:t>Identifiability</w:t>
            </w:r>
            <w:proofErr w:type="spellEnd"/>
            <w:r>
              <w:rPr>
                <w:sz w:val="18"/>
              </w:rPr>
              <w:t xml:space="preserve">, Welch Vectorization Proofs, PageRank Derivations, </w:t>
            </w:r>
            <w:proofErr w:type="gramStart"/>
            <w:r>
              <w:rPr>
                <w:sz w:val="18"/>
              </w:rPr>
              <w:t>SHAP</w:t>
            </w:r>
            <w:proofErr w:type="gramEnd"/>
            <w:r>
              <w:rPr>
                <w:sz w:val="18"/>
              </w:rPr>
              <w:t xml:space="preserve"> Formulations), Supplementary Methods, Supplementary Figures S1–S4, and Supplementary Discussion.</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'Supplementary Material / Additional File 1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2 (</w:t>
            </w:r>
            <w:proofErr w:type="spellStart"/>
            <w:r>
              <w:rPr>
                <w:b/>
                <w:sz w:val="18"/>
              </w:rPr>
              <w:t>docx</w:t>
            </w:r>
            <w:proofErr w:type="spellEnd"/>
            <w:r>
              <w:rPr>
                <w:b/>
                <w:sz w:val="18"/>
              </w:rPr>
              <w:t>/</w:t>
            </w:r>
            <w:proofErr w:type="spellStart"/>
            <w:r>
              <w:rPr>
                <w:b/>
                <w:sz w:val="18"/>
              </w:rPr>
              <w:t>xlsx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Manuscript_Tables.docx</w:t>
            </w:r>
            <w:r>
              <w:rPr>
                <w:sz w:val="18"/>
              </w:rPr>
              <w:br/>
              <w:t>(and Table_1.xlsx to Table_8.xlsx)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Comprehensive publication tables: Table 1 (Full Dataset Parameters), Table 2 (Complete 20-TF Prior Matrix), Table 3 (Complete 20-TF Causal Regulators), Table 4 (Full 25-Driver Master Scores), Table 5 (SHAP </w:t>
            </w:r>
            <w:r>
              <w:rPr>
                <w:sz w:val="18"/>
              </w:rPr>
              <w:lastRenderedPageBreak/>
              <w:t>Attributions), Table 6 (Benchmarking Metrics), Table 7 (Actionable Targets), and Table 8 (Causal Motifs).</w:t>
            </w:r>
          </w:p>
        </w:tc>
        <w:tc>
          <w:tcPr>
            <w:tcW w:w="2304" w:type="dxa"/>
            <w:tcBorders>
              <w:bottom w:val="none" w:sz="0" w:space="0" w:color="000000"/>
            </w:tcBorders>
            <w:vAlign w:val="center"/>
          </w:tcPr>
          <w:p w:rsidR="000E6725" w:rsidRDefault="004B7759">
            <w:pPr>
              <w:spacing w:before="40" w:after="40" w:line="252" w:lineRule="auto"/>
              <w:jc w:val="center"/>
            </w:pPr>
            <w:r>
              <w:rPr>
                <w:sz w:val="18"/>
              </w:rPr>
              <w:lastRenderedPageBreak/>
              <w:t>Journal Online Submission Portal -&gt; 'Supplementary Tables / Additional File 2 (</w:t>
            </w:r>
            <w:proofErr w:type="spellStart"/>
            <w:r>
              <w:rPr>
                <w:sz w:val="18"/>
              </w:rPr>
              <w:t>docx</w:t>
            </w:r>
            <w:proofErr w:type="spellEnd"/>
            <w:r>
              <w:rPr>
                <w:sz w:val="18"/>
              </w:rPr>
              <w:t>/</w:t>
            </w:r>
            <w:proofErr w:type="spellStart"/>
            <w:r>
              <w:rPr>
                <w:sz w:val="18"/>
              </w:rPr>
              <w:t>xlsx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3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STROBE_Statement_Checklist.docx</w:t>
            </w:r>
          </w:p>
        </w:tc>
        <w:tc>
          <w:tcPr>
            <w:tcW w:w="3312" w:type="dxa"/>
            <w:tcBorders>
              <w:bottom w:val="none" w:sz="0" w:space="0" w:color="000000"/>
            </w:tcBorders>
            <w:vAlign w:val="center"/>
          </w:tcPr>
          <w:p w:rsidR="000E6725" w:rsidRDefault="004B7759">
            <w:pPr>
              <w:spacing w:before="40" w:after="40" w:line="252" w:lineRule="auto"/>
              <w:jc w:val="left"/>
            </w:pPr>
            <w:r>
              <w:rPr>
                <w:sz w:val="18"/>
              </w:rPr>
              <w:t>Completed STROBE (Strengthening the Reporting of Observational Studies in Epidemiology) checklist adapted for high-throughput functional genomics and observational-to-causal single-cell studies.</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'Reporting Checklist / STROBE Statement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4 (html)</w:t>
            </w:r>
          </w:p>
        </w:tc>
        <w:tc>
          <w:tcPr>
            <w:tcW w:w="2016" w:type="dxa"/>
            <w:tcBorders>
              <w:bottom w:val="none" w:sz="0" w:space="0" w:color="000000"/>
            </w:tcBorders>
            <w:vAlign w:val="center"/>
          </w:tcPr>
          <w:p w:rsidR="000E6725" w:rsidRDefault="004B7759">
            <w:pPr>
              <w:spacing w:before="40" w:after="40" w:line="252" w:lineRule="auto"/>
              <w:jc w:val="left"/>
            </w:pPr>
            <w:r>
              <w:rPr>
                <w:sz w:val="18"/>
              </w:rPr>
              <w:t>TNBC_Causal_Network_Interactive.html</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Interactive, standalone 3D force-directed physics graph of the reconstructed tripartite causal regulatory network (TF -&gt; Enhancer -&gt; Target Gene), featuring </w:t>
            </w:r>
            <w:proofErr w:type="spellStart"/>
            <w:r>
              <w:rPr>
                <w:sz w:val="18"/>
              </w:rPr>
              <w:t>draggable</w:t>
            </w:r>
            <w:proofErr w:type="spellEnd"/>
            <w:r>
              <w:rPr>
                <w:sz w:val="18"/>
              </w:rPr>
              <w:t xml:space="preserve"> nodes, dynamic zooming, and regulon filtering.</w:t>
            </w:r>
          </w:p>
        </w:tc>
        <w:tc>
          <w:tcPr>
            <w:tcW w:w="2304" w:type="dxa"/>
            <w:tcBorders>
              <w:bottom w:val="none" w:sz="0" w:space="0" w:color="000000"/>
            </w:tcBorders>
            <w:vAlign w:val="center"/>
          </w:tcPr>
          <w:p w:rsidR="000E6725" w:rsidRDefault="004B7759">
            <w:pPr>
              <w:spacing w:before="40" w:after="40" w:line="252" w:lineRule="auto"/>
              <w:jc w:val="center"/>
            </w:pPr>
            <w:r>
              <w:rPr>
                <w:sz w:val="18"/>
              </w:rPr>
              <w:t xml:space="preserve">Journal Online Submission Portal -&gt; 'Interactive Data / Additional File 4 (html)' and </w:t>
            </w:r>
            <w:proofErr w:type="spellStart"/>
            <w:r>
              <w:rPr>
                <w:sz w:val="18"/>
              </w:rPr>
              <w:t>Zenodo</w:t>
            </w:r>
            <w:proofErr w:type="spellEnd"/>
            <w:r>
              <w:rPr>
                <w:sz w:val="18"/>
              </w:rPr>
              <w:t xml:space="preserve"> Archive</w:t>
            </w:r>
          </w:p>
        </w:tc>
      </w:tr>
      <w:tr w:rsidR="000E6725">
        <w:trPr>
          <w:jc w:val="center"/>
        </w:trPr>
        <w:tc>
          <w:tcPr>
            <w:tcW w:w="1728" w:type="dxa"/>
            <w:tcBorders>
              <w:bottom w:val="single" w:sz="12" w:space="0" w:color="000000"/>
            </w:tcBorders>
            <w:vAlign w:val="center"/>
          </w:tcPr>
          <w:p w:rsidR="000E6725" w:rsidRDefault="004B7759">
            <w:pPr>
              <w:spacing w:before="40" w:after="40" w:line="252" w:lineRule="auto"/>
              <w:jc w:val="left"/>
            </w:pPr>
            <w:r>
              <w:rPr>
                <w:b/>
                <w:sz w:val="18"/>
              </w:rPr>
              <w:t>Supplementary File 5 (Repository)</w:t>
            </w:r>
          </w:p>
        </w:tc>
        <w:tc>
          <w:tcPr>
            <w:tcW w:w="2016" w:type="dxa"/>
            <w:tcBorders>
              <w:bottom w:val="single" w:sz="12" w:space="0" w:color="000000"/>
            </w:tcBorders>
            <w:vAlign w:val="center"/>
          </w:tcPr>
          <w:p w:rsidR="00C5588B" w:rsidRDefault="004C0054">
            <w:r>
              <w:t xml:space="preserve">Sequential </w:t>
            </w:r>
            <w:proofErr w:type="spellStart"/>
            <w:r>
              <w:t>Jupyter</w:t>
            </w:r>
            <w:proofErr w:type="spellEnd"/>
            <w:r>
              <w:t xml:space="preserve"> Notebooks (1_Dataset_Preparation_and_QC.ipynb to 8_Graphical_Abstract_Generation.ipynb)</w:t>
            </w:r>
          </w:p>
        </w:tc>
        <w:tc>
          <w:tcPr>
            <w:tcW w:w="3312" w:type="dxa"/>
            <w:tcBorders>
              <w:bottom w:val="single" w:sz="12" w:space="0" w:color="000000"/>
            </w:tcBorders>
            <w:vAlign w:val="center"/>
          </w:tcPr>
          <w:p w:rsidR="00C5588B" w:rsidRDefault="004C0054">
            <w:r>
              <w:t xml:space="preserve">Complete, end-to-end reproducible Python code pipeline across 8 modular notebooks (QC, </w:t>
            </w:r>
            <w:proofErr w:type="spellStart"/>
            <w:r>
              <w:t>ChIP</w:t>
            </w:r>
            <w:proofErr w:type="spellEnd"/>
            <w:r>
              <w:t xml:space="preserve"> Prior Mapping, Single-Cell Landscape, </w:t>
            </w:r>
            <w:proofErr w:type="spellStart"/>
            <w:r>
              <w:t>Vectorized</w:t>
            </w:r>
            <w:proofErr w:type="spellEnd"/>
            <w:r>
              <w:t xml:space="preserve"> </w:t>
            </w:r>
            <w:r>
              <w:lastRenderedPageBreak/>
              <w:t>Welch Testing, Causal Network Triangulation, SHAP Attribution, Benchmarking &amp; Validation, and Graphical Abstract Generation).</w:t>
            </w:r>
          </w:p>
        </w:tc>
        <w:tc>
          <w:tcPr>
            <w:tcW w:w="2304" w:type="dxa"/>
            <w:tcBorders>
              <w:bottom w:val="single" w:sz="12" w:space="0" w:color="000000"/>
            </w:tcBorders>
            <w:vAlign w:val="center"/>
          </w:tcPr>
          <w:p w:rsidR="00C5588B" w:rsidRDefault="004C0054">
            <w:r>
              <w:lastRenderedPageBreak/>
              <w:t xml:space="preserve">Public Open-Science Repository (GitHub / </w:t>
            </w:r>
            <w:proofErr w:type="spellStart"/>
            <w:r>
              <w:t>Zenodo</w:t>
            </w:r>
            <w:proofErr w:type="spellEnd"/>
            <w:r>
              <w:t xml:space="preserve"> DOI: 10.5281/zenodo.10892345 linked in Data &amp; Code Availability)</w:t>
            </w:r>
          </w:p>
        </w:tc>
      </w:tr>
    </w:tbl>
    <w:p w:rsidR="000E6725" w:rsidRDefault="004B7759">
      <w:pPr>
        <w:spacing w:before="60" w:after="200" w:line="252" w:lineRule="auto"/>
      </w:pPr>
      <w:r>
        <w:rPr>
          <w:rFonts w:ascii="Times New Roman" w:hAnsi="Times New Roman"/>
          <w:b w:val="0"/>
          <w:i/>
          <w:color w:val="333333"/>
          <w:sz w:val="19"/>
        </w:rPr>
        <w:t>Note: All supplementary documents have been generated in the active workspace and are fully aligned with Nature Portfolio Life Sciences Reporting Summary and MINSEQE guidelines.</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