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7FB" w:rsidRDefault="00566EC1">
      <w:pPr>
        <w:spacing w:before="80" w:after="80"/>
        <w:jc w:val="both"/>
      </w:pPr>
      <w:r>
        <w:rPr>
          <w:rFonts w:ascii="Times New Roman" w:hAnsi="Times New Roman"/>
          <w:b/>
          <w:color w:val="000000"/>
          <w:sz w:val="36"/>
        </w:rPr>
        <w:t>Supplementary Information</w:t>
      </w:r>
    </w:p>
    <w:p w:rsidR="00410B50" w:rsidRDefault="00410B50" w:rsidP="00410B50">
      <w:pPr>
        <w:spacing w:before="80" w:after="80"/>
        <w:jc w:val="center"/>
        <w:rPr>
          <w:rFonts w:ascii="Times New Roman" w:hAnsi="Times New Roman"/>
          <w:b/>
          <w:color w:val="000000"/>
          <w:sz w:val="26"/>
        </w:rPr>
      </w:pPr>
      <w:r w:rsidRPr="00410B50">
        <w:rPr>
          <w:rFonts w:ascii="Times New Roman" w:hAnsi="Times New Roman"/>
          <w:b/>
          <w:color w:val="000000"/>
          <w:sz w:val="26"/>
        </w:rPr>
        <w:t>Integrating CRISPRi Perturbation Responses and Transcription-Factor Binding Priors for Regulatory Network Inference in Triple-Negative Breast Cancer</w:t>
      </w:r>
    </w:p>
    <w:p w:rsidR="001757FB" w:rsidRDefault="00566EC1" w:rsidP="00410B50">
      <w:pPr>
        <w:spacing w:before="80" w:after="80" w:line="276" w:lineRule="auto"/>
        <w:jc w:val="both"/>
      </w:pPr>
      <w:bookmarkStart w:id="0" w:name="_GoBack"/>
      <w:bookmarkEnd w:id="0"/>
      <w:r>
        <w:rPr>
          <w:rFonts w:ascii="Times New Roman" w:hAnsi="Times New Roman"/>
          <w:color w:val="000000"/>
        </w:rPr>
        <w:t>Omar Faroque¹, Mst. Homayra Jannaty¹, Shahriar Ahmed Abir², Suman Biswas¹*</w:t>
      </w:r>
    </w:p>
    <w:p w:rsidR="001757FB" w:rsidRDefault="00566EC1" w:rsidP="00410B50">
      <w:pPr>
        <w:spacing w:before="80" w:after="80" w:line="276" w:lineRule="auto"/>
        <w:jc w:val="both"/>
      </w:pPr>
      <w:r>
        <w:rPr>
          <w:rFonts w:ascii="Times New Roman" w:hAnsi="Times New Roman"/>
          <w:i/>
          <w:color w:val="000000"/>
          <w:sz w:val="20"/>
        </w:rPr>
        <w:t>¹ Department of Statistics, Faculty of Sciences, Islamic University, Kushtia-7003, Bangladesh</w:t>
      </w:r>
      <w:r>
        <w:rPr>
          <w:rFonts w:ascii="Times New Roman" w:hAnsi="Times New Roman"/>
          <w:i/>
          <w:color w:val="000000"/>
          <w:sz w:val="20"/>
        </w:rPr>
        <w:br/>
        <w:t>² Department of Biotechnology and Genetic Engineering, Faculty of Biological Sciences, Islamic University, Kushtia-7003, Bangladesh</w:t>
      </w:r>
      <w:r>
        <w:rPr>
          <w:rFonts w:ascii="Times New Roman" w:hAnsi="Times New Roman"/>
          <w:i/>
          <w:color w:val="000000"/>
          <w:sz w:val="20"/>
        </w:rPr>
        <w:br/>
        <w:t>* Corresponding Author: suman@stat.iu.ac.bd</w:t>
      </w:r>
    </w:p>
    <w:p w:rsidR="001757FB" w:rsidRDefault="001757FB"/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Table of Contents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1: Mathematical Foundations of Causal Triangulation &amp; Composite Scoring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2: Directed Acyclic Graph (DAG) Identifiability &amp; Pearl's Do-Calculus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3: Fast Vectorized Two-Sample Welch t-Test for Genome-Scale Perturb-seq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4: Directed Multigraph Topology &amp; Google PageRank Prioritization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5: Explainable AI (SHAP TreeExplainer) &amp; In Silico Driver Knockout Validation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Note 6: Biochemical Mechanism of Synergistic Epigenetic Combination Therapies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Guide to Tables S1–S8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Guide to Interactive Displays &amp; Software Repository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1"/>
        </w:rPr>
        <w:t>• Supplementary References</w:t>
      </w:r>
    </w:p>
    <w:p w:rsidR="001757FB" w:rsidRDefault="00566EC1">
      <w:r>
        <w:br w:type="page"/>
      </w:r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lastRenderedPageBreak/>
        <w:t>Supplementary Note 1: Mathematical Foundations of Causal Triangulation &amp; Composite Scoring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In observational single-cell RNA sequencing, technical dropouts (excess zero counts) induce spurious conditional dependencies between independent genes, producing high false discovery rates (&gt;35–45%) when applying standard relevance networks, Gaussian graphical models, or observational tree ensembles (GENIE3, GRNBoost2). To overcome this observational confounding, we formulate a tripartite causal triangulation framework that unites physical chromatin-binding priors from ENCODE ChIP-seq with functional interventional evidence from single-cell </w:t>
      </w:r>
      <w:proofErr w:type="spellStart"/>
      <w:r>
        <w:rPr>
          <w:rFonts w:ascii="Times New Roman" w:hAnsi="Times New Roman"/>
          <w:color w:val="000000"/>
        </w:rPr>
        <w:t>CRISPRi</w:t>
      </w:r>
      <w:proofErr w:type="spellEnd"/>
      <w:r>
        <w:rPr>
          <w:rFonts w:ascii="Times New Roman" w:hAnsi="Times New Roman"/>
          <w:color w:val="000000"/>
        </w:rPr>
        <w:t>.</w:t>
      </w:r>
    </w:p>
    <w:p w:rsidR="00566EC1" w:rsidRDefault="00566EC1">
      <w:pPr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Let i denote a candidate transcription factor, e denote an accessible enhancer locus, and j denote a downstream target gene. The triangulated causal regulatory weight W_causal(i → e → j) is formulated as the composite product of physical binding confidence and functional perturbation responsiveness:</w:t>
      </w:r>
    </w:p>
    <w:p>
      <w:pPr>
        <w:spacing w:before="160" w:after="16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rPr>
                <m:nor/>
              </m:rPr>
              <m:t>causal</m:t>
            </m:r>
          </m:sub>
        </m:sSub>
        <m:r>
          <m:t>(i→e→j)=</m:t>
        </m:r>
        <m:sSub>
          <m:e>
            <m:r>
              <m:t>C</m:t>
            </m:r>
          </m:e>
          <m:sub>
            <m:r>
              <m:rPr>
                <m:nor/>
              </m:rPr>
              <m:t>ChIP</m:t>
            </m:r>
          </m:sub>
        </m:sSub>
        <m:r>
          <m:t>(i,e)×|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nor/>
          </m:rPr>
          <m:t>FC</m:t>
        </m:r>
        <m:r>
          <m:t>(e,j)|×|t(e,j)|</m:t>
        </m:r>
      </m:oMath>
    </w:p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where</w:t>
      </w:r>
      <w:proofErr w:type="gramEnd"/>
      <w:r>
        <w:rPr>
          <w:rFonts w:ascii="Times New Roman" w:hAnsi="Times New Roman"/>
          <w:color w:val="000000"/>
        </w:rPr>
        <w:t xml:space="preserve"> C_ChIP(i, e) represents the peak binding confidence score from ENCODE Factorbook/UCSC clusters normalized to [0, 1000]; log2 FC(e, j) is the interventional expression shift following CRISPRi enhancer silencing; and t(e, j) is the Welch t-statistic measuring perturbation significance against non-targeting control (NTC) sgRNAs. Multiplying |log2 FC| by |t| quadratically rewards effect size while inversely weighting by measurement variance, ensuring that high-weight edges possess both large biological fold change and high statistical precision.</w:t>
      </w:r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Supplementary Note 2: Directed Acyclic Graph (DAG) Identifiability &amp; Pearl's Do-Calculus</w:t>
      </w:r>
    </w:p>
    <w:p w:rsidR="00566EC1" w:rsidRDefault="00566EC1">
      <w:pPr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Traditional observational GRN algorithms can only identify graphs up to their Markov Equivalence Class (represented as Completed Partially Directed Acyclic Graphs, CPDAGs), leaving edge directions reversible in v-structures without randomized interventions. Under Judea Pearl’s structural causal model (SCM) framework, experimental CRISPRi perturbations act as exogenous, randomized atomic interventions:</w:t>
      </w:r>
    </w:p>
    <w:p>
      <w:pPr>
        <w:spacing w:before="160" w:after="160"/>
        <w:jc w:val="center"/>
      </w:pPr>
      <m:oMath xmlns:mml="http://www.w3.org/1998/Math/MathML">
        <m:r>
          <m:t>P(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∣do(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=0))≠P(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E</m:t>
            </m:r>
          </m:e>
          <m:sub>
            <m:r>
              <m:t>e</m:t>
            </m:r>
          </m:sub>
        </m:sSub>
        <m:r>
          <m:t>=0)</m:t>
        </m:r>
      </m:oMath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>Because the guide RNA targets enhancer locus e independently of all endogenous cellular confounding (cell cycle, batch effects, transcriptional bursting), the perturbation breaks all incoming back-door paths to e. Consequently, any statistically significant shift in gene j must be downstream of e, unambiguously establishing the directed functional edge e → j.</w:t>
      </w:r>
    </w:p>
    <w:p w:rsidR="001757FB" w:rsidRP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 xml:space="preserve">Importantly, a rigorous theoretical distinction must be acknowledged: while the functional regulatory arm (e → j) is strictly identified through randomized experimental intervention (do(e = 0)), the upstream physical binding arm (i → e) represents an observational chromatin occupancy prior derived from ChIP-seq. Triangulation integrates these distinct evidentiary streams by prioritizing cascades that are simultaneously physically plausible and functionally responsive under intervention, establishing </w:t>
      </w:r>
      <w:r>
        <w:rPr>
          <w:rFonts w:ascii="Times New Roman" w:hAnsi="Times New Roman"/>
          <w:color w:val="000000"/>
        </w:rPr>
        <w:lastRenderedPageBreak/>
        <w:t>defensible directed regulatory flow without claiming direct genetic perturbation of the upstream transcription factor coding genes themselves.</w:t>
      </w:r>
      <w:proofErr w:type="gramEnd"/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Supplementary Note 3: Fast Vectorized Two-Sample Welch t-Test for Genome-Scale Perturb-seq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Evaluating 11,975 individual sgRNA guides across 95,678 single cells and 32,799 gene features requires computing millions of hypothesis tests. To avoid computationally prohibitive nested loops, we implemented a </w:t>
      </w:r>
      <w:proofErr w:type="spellStart"/>
      <w:r>
        <w:rPr>
          <w:rFonts w:ascii="Times New Roman" w:hAnsi="Times New Roman"/>
          <w:color w:val="000000"/>
        </w:rPr>
        <w:t>vectorized</w:t>
      </w:r>
      <w:proofErr w:type="spellEnd"/>
      <w:r>
        <w:rPr>
          <w:rFonts w:ascii="Times New Roman" w:hAnsi="Times New Roman"/>
          <w:color w:val="000000"/>
        </w:rPr>
        <w:t xml:space="preserve"> two-sample Welch t-test:</w:t>
      </w:r>
    </w:p>
    <w:p w:rsidR="00566EC1" w:rsidRDefault="00566EC1">
      <w:pPr>
        <w:spacing w:before="160" w:after="160"/>
        <w:jc w:val="center"/>
        <w:rPr>
          <w:rFonts w:ascii="Times New Roman" w:hAnsi="Times New Roman"/>
          <w:color w:val="000000"/>
        </w:rPr>
      </w:pPr>
      <w:r/>
      <m:oMath xmlns:mml="http://www.w3.org/1998/Math/MathML">
        <m:r>
          <m:t>t=</m:t>
        </m:r>
        <m:f>
          <m:fPr>
            <m:type m:val="bar"/>
          </m:fPr>
          <m:num>
            <m:sSub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b>
                <m:r>
                  <m:t>1</m:t>
                </m:r>
              </m:sub>
            </m:sSub>
            <m:r>
              <m:t>−</m:t>
            </m:r>
            <m:sSub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e>
            </m:rad>
          </m:den>
        </m:f>
      </m:oMath>
    </w:p>
    <w:p w:rsidR="00566EC1" w:rsidRDefault="00566EC1">
      <w:pPr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The effective degrees of freedom (ν) are computed via the Welch–Satterthwaite equation:</w:t>
      </w:r>
    </w:p>
    <w:p>
      <w:pPr>
        <w:spacing w:before="160" w:after="160"/>
        <w:jc w:val="center"/>
      </w:pPr>
      <m:oMath xmlns:mml="http://www.w3.org/1998/Math/MathML">
        <m:r>
          <m:t>ν≈</m:t>
        </m:r>
        <m:f>
          <m:fPr>
            <m:type m:val="bar"/>
          </m:fPr>
          <m:num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num>
          <m:den>
            <m:f>
              <m:fPr>
                <m:type m:val="bar"/>
              </m:fPr>
              <m:num>
                <m:r>
                  <m:t>(</m:t>
                </m:r>
                <m:sSubSup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/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t>−1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(</m:t>
                </m:r>
                <m:sSubSup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t>/</m:t>
                </m:r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t>−1</m:t>
                </m:r>
              </m:den>
            </m:f>
          </m:den>
        </m:f>
      </m:oMath>
    </w:p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color w:val="000000"/>
        </w:rPr>
        <w:br/>
        <w:t>To eliminate confounding from combinatorial epistatic interactions between co-expressed guides, the differential perturbation analysis was computed strictly using the single-guide cohort (n = 3,930 cells) contrasted against the unassigned negative control pool (n = 7,767 cells). Significant interventional responses were defined under stringent dual thresholds: |log2 FC| ≥ 0.25 and |t| ≥ 2.5 (corresponding to two-sided p &lt; 0.012).</w:t>
      </w:r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Supplementary Note 4: Directed Multigraph Topology &amp; Google PageRank Prioritization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To identify which transcription factors exert master regulatory control over the global network architecture, we mapped the triangulated causal edges into a directed weighted multigraph G = (V, E, W). We implemented Google PageRank with a damping factor α = 0.85 and maximum 500 iterations (convergence tolerance 1 × 10⁻⁶):</w:t>
      </w:r>
    </w:p>
    <w:p w:rsidR="00566EC1" w:rsidRDefault="00566EC1">
      <w:pPr>
        <w:spacing w:before="160" w:after="160"/>
        <w:jc w:val="center"/>
        <w:rPr>
          <w:rFonts w:ascii="Times New Roman" w:hAnsi="Times New Roman"/>
          <w:color w:val="000000"/>
        </w:rPr>
      </w:pPr>
      <w:r/>
      <m:oMath xmlns:mml="http://www.w3.org/1998/Math/MathML">
        <m:r>
          <m:rPr>
            <m:nor/>
          </m:rPr>
          <m:t>PR</m:t>
        </m:r>
        <m:r>
          <m:t>(u)=</m:t>
        </m:r>
        <m:f>
          <m:fPr>
            <m:type m:val="bar"/>
          </m:fPr>
          <m:num>
            <m:r>
              <m:t>1−α</m:t>
            </m:r>
          </m:num>
          <m:den>
            <m:r>
              <m:t>N</m:t>
            </m:r>
          </m:den>
        </m:f>
        <m:r>
          <m:t>+α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v∈</m:t>
            </m:r>
            <m:r>
              <m:rPr>
                <m:nor/>
              </m:rPr>
              <m:t>In</m:t>
            </m:r>
            <m:r>
              <m:t>(u)</m:t>
            </m:r>
          </m:sub>
          <m:sup/>
          <m:e/>
        </m:nary>
        <m:f>
          <m:fPr>
            <m:type m:val="bar"/>
          </m:fPr>
          <m:num>
            <m:r>
              <m:rPr>
                <m:nor/>
              </m:rPr>
              <m:t>PR</m:t>
            </m:r>
            <m:r>
              <m:t>(v)</m:t>
            </m:r>
          </m:num>
          <m:den>
            <m:r>
              <m:t>L(v)</m:t>
            </m:r>
          </m:den>
        </m:f>
      </m:oMath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Nodes were simultaneously evaluated by cumulative outgoing causal paths, total target genes regulated, and the composite Master Regulatory Score (MRS)</w:t>
      </w:r>
      <w:proofErr w:type="gramEnd"/>
      <w:r>
        <w:rPr>
          <w:rFonts w:ascii="Times New Roman" w:hAnsi="Times New Roman"/>
          <w:color w:val="000000"/>
        </w:rPr>
        <w:t>:</w:t>
      </w:r>
    </w:p>
    <w:p w:rsidR="00566EC1" w:rsidRDefault="00566EC1">
      <w:pPr>
        <w:spacing w:before="160" w:after="160"/>
        <w:jc w:val="center"/>
        <w:rPr>
          <w:rFonts w:ascii="Times New Roman" w:hAnsi="Times New Roman"/>
          <w:color w:val="000000"/>
        </w:rPr>
      </w:pPr>
      <w:r/>
      <m:oMath xmlns:mml="http://www.w3.org/1998/Math/MathML">
        <m:r>
          <m:rPr>
            <m:nor/>
          </m:rPr>
          <m:t>MRS</m:t>
        </m:r>
        <m:r>
          <m:t>(i)=β×</m:t>
        </m:r>
        <m:r>
          <m:rPr>
            <m:nor/>
          </m:rPr>
          <m:t>TargetPercentile</m:t>
        </m:r>
        <m:r>
          <m:t>(i)+(1−β)×</m:t>
        </m:r>
        <m:r>
          <m:rPr>
            <m:nor/>
          </m:rPr>
          <m:t>WeightPercentile</m:t>
        </m:r>
        <m:r>
          <m:t>(i)</m:t>
        </m:r>
      </m:oMath>
    </w:p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color w:val="000000"/>
        </w:rPr>
        <w:br/>
      </w:r>
      <w:proofErr w:type="gramStart"/>
      <w:r>
        <w:rPr>
          <w:rFonts w:ascii="Times New Roman" w:hAnsi="Times New Roman"/>
          <w:color w:val="000000"/>
        </w:rPr>
        <w:t>where</w:t>
      </w:r>
      <w:proofErr w:type="gramEnd"/>
      <w:r>
        <w:rPr>
          <w:rFonts w:ascii="Times New Roman" w:hAnsi="Times New Roman"/>
          <w:color w:val="000000"/>
        </w:rPr>
        <w:t xml:space="preserve"> β = 0.5 balances broad target reach with deep biochemical intensity. CTCF, POLR2A, EP300, JUND, and MYC consistently ranked in the top percentiles across all topological metrics.</w:t>
      </w:r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Supplementary Note 5: Explainable AI (SHAP TreeExplainer) &amp; In Silico Driver Knockout Validation</w:t>
      </w:r>
    </w:p>
    <w:p w:rsidR="00566EC1" w:rsidRDefault="00566EC1">
      <w:pPr>
        <w:spacing w:before="0" w:after="12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To capture non-linear, multi-factorial causal gene regulation beyond monotonic assumptions, we deployed XGBoost Regressors predicting target gene responsiveness from master regulator causal weights. Exact feature attribution values were computed via the TreeExplainer algorithm:</w:t>
      </w:r>
    </w:p>
    <w:p>
      <w:pPr>
        <w:spacing w:before="160" w:after="160"/>
        <w:jc w:val="center"/>
      </w:pPr>
      <m:oMath xmlns:mml="http://www.w3.org/1998/Math/MathML">
        <m:sSub>
          <m:e>
            <m:r>
              <m:t>ϕ</m:t>
            </m:r>
          </m:e>
          <m:sub>
            <m:r>
              <m:t>i</m:t>
            </m:r>
          </m:sub>
        </m:sSub>
        <m:r>
          <m:t>(x)=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S⊆F⧵{i}</m:t>
            </m:r>
          </m:sub>
          <m:sup/>
          <m:e/>
        </m:nary>
        <m:f>
          <m:fPr>
            <m:type m:val="bar"/>
          </m:fPr>
          <m:num>
            <m:r>
              <m:t>|S|!(|F|−|S|−1)!</m:t>
            </m:r>
          </m:num>
          <m:den>
            <m:r>
              <m:t>|F|!</m:t>
            </m:r>
          </m:den>
        </m:f>
        <m:r>
          <m:t>[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(S∪{i})−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(S)]</m:t>
        </m:r>
      </m:oMath>
    </w:p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color w:val="000000"/>
        </w:rPr>
        <w:br/>
        <w:t>TreeExplainer SHAP attribution identified JUND (mean |SHAP| = 0.0296), MYC (mean |SHAP| = 0.0174), MAX (mean |SHAP| = 0.0125), and EP300 (mean |SHAP| = 0.0117) as top non-linear drivers. Feature dependency analysis for JUND uncovered switch-like threshold dynamics: causal weights below 8.5 conferred minimal impact, whereas weights exceeding 10.0 induced rapid, non-monotonic transactivation.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color w:val="000000"/>
        </w:rPr>
        <w:br/>
        <w:t>In silico driver knockout simulations were performed across N = 864 target genes by numerically clamping driver causal weights to zero (do(TF = 0)) and evaluating model expression shifts against experimental CRISPRi log2 fold changes. This empirical validation yielded Pearson r = 0.688 and R² = 0.473 (p = 3.37 × 10⁻¹²²), confirming high predictive fidelity.</w:t>
      </w:r>
    </w:p>
    <w:p w:rsidR="001757FB" w:rsidRDefault="00566EC1"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Supplementary Note 6: Biochemical Mechanism of Synergistic Epigenetic Combination Therapies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 fundamental biological rationale underlies the predicted therapeutic synergy of combining p300 HAT inhibitors (A-485, CCS1477) with class I HDAC inhibitors (Entinostat, Vorinostat) and BET bromodomain inhibitors (OTX015/Birabresib) in TNBC, despite their opposing biochemical effects on bulk histone acetylation: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>1. Targeted Oncogenic Super-Enhancer Collapse: In basal-like TNBC, p300 HAT specifically acetylates histone H3K27 at hyper-dense super-enhancers driving core oncogenic drivers (MYC, AP-1/JUND). Pharmacological p300 inhibition selectively dismantles these multi-transcription-factor condensates, depriving oncogenes of transcriptional burst frequency.</w:t>
      </w:r>
    </w:p>
    <w:p w:rsidR="00566EC1" w:rsidRDefault="00566EC1">
      <w:pPr>
        <w:spacing w:before="80" w:after="8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/>
        <w:t xml:space="preserve">2. Tumor Suppressor and Pro-Apoptotic Gene Reactivation: In parallel, aberrant class I HDAC activity in TNBC silences endogenous tumor suppressor pathways and apoptotic effectors (CDKN1A/p21, BIM, </w:t>
      </w:r>
      <w:proofErr w:type="gramStart"/>
      <w:r>
        <w:rPr>
          <w:rFonts w:ascii="Times New Roman" w:hAnsi="Times New Roman"/>
          <w:color w:val="000000"/>
        </w:rPr>
        <w:t>PTEN</w:t>
      </w:r>
      <w:proofErr w:type="gramEnd"/>
      <w:r>
        <w:rPr>
          <w:rFonts w:ascii="Times New Roman" w:hAnsi="Times New Roman"/>
          <w:color w:val="000000"/>
        </w:rPr>
        <w:t>). Selective HDAC inhibition relieves this transcriptional repression, reactivating cell cycle checkpoints and apoptotic cascades.</w:t>
      </w:r>
    </w:p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color w:val="000000"/>
        </w:rPr>
        <w:br/>
        <w:t>3. Epigenetic Plasticity Abrogation: Combining super-enhancer disruption (BETi + HATi) with tumor suppressor de-repression (HDACi) simultaneously starves the cell of growth signals while enforcing apoptotic execution, explaining the predicted 93% network collapse in silico.</w:t>
      </w:r>
    </w:p>
    <w:p w:rsidR="001757FB" w:rsidRDefault="001757FB"/>
    <w:p w:rsidR="001757FB" w:rsidRDefault="00566EC1">
      <w:pPr>
        <w:spacing w:before="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Supplementary References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Cancer Genome Atlas Network. (2012). Comprehensive molecular portraits of human breast tumours. Nature, 490(7418), 61–70.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Chen, T., &amp; Guestrin, C. (2016). XGBoost: A scalable tree boosting system. ACM SIGKDD, 785–794.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Curtis, C., et al. (2012). The genomic and transcriptomic architecture of 2,000 breast tumours reveals novel subgroups. Nature, 486(7403), 346–352.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lastRenderedPageBreak/>
        <w:t>ENCODE Project Consortium. (2012). An integrated encyclopedia of DNA elements in the human genome. Nature, 489(7414), 57–74.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Lewis, E. M., et al. (2024). Single-cell enhancer perturbation screens identify non-coding somatic mutation networks in human triple-negative breast cancer. Cell Genomics, 4(2), 100488.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Lundberg, S. M., et al. (2020). From local explanations to global understanding with explainable AI for trees. Nature Machine Intelligence, 2(1), 56–67.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Pearl, J. (2009). Causality: Models, Reasoning, and Inference (2nd ed.). Cambridge University Press.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Shojaee, A., &amp; Huang, S.-S. C. (2023). Robust discovery of gene regulatory networks. Briefings in Bioinformatics, 24(5), bbad258.</w:t>
      </w:r>
    </w:p>
    <w:p w:rsidR="001757FB" w:rsidRDefault="00566EC1">
      <w:pPr>
        <w:spacing w:before="80" w:after="80" w:line="276" w:lineRule="auto"/>
        <w:ind w:left="360"/>
        <w:jc w:val="both"/>
      </w:pPr>
      <w:r>
        <w:rPr>
          <w:rFonts w:ascii="Times New Roman" w:hAnsi="Times New Roman"/>
          <w:color w:val="000000"/>
          <w:sz w:val="20"/>
        </w:rPr>
        <w:t>Zheng, X., et al. (2018). DAGs with NO TEARS: Continuous optimization for structure learning. NeurIPS, 31, 9472–9483.</w:t>
      </w:r>
    </w:p>
    <w:sectPr w:rsidR="001757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7FB"/>
    <w:rsid w:val="0029639D"/>
    <w:rsid w:val="00326F90"/>
    <w:rsid w:val="00410B50"/>
    <w:rsid w:val="00566E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29F7B"/>
  <w14:defaultImageDpi w14:val="300"/>
  <w15:docId w15:val="{B3B75825-472C-4F05-82EA-B3FC0FE2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A06E2F-AA6F-4EA4-8A6D-DBB1AB92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R Computer</cp:lastModifiedBy>
  <cp:revision>3</cp:revision>
  <dcterms:created xsi:type="dcterms:W3CDTF">2013-12-23T23:15:00Z</dcterms:created>
  <dcterms:modified xsi:type="dcterms:W3CDTF">2026-10-23T13:11:00Z</dcterms:modified>
  <cp:category/>
</cp:coreProperties>
</file>