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079" w:rsidRDefault="00685170">
      <w:pPr>
        <w:spacing w:before="200" w:after="120"/>
        <w:jc w:val="center"/>
      </w:pPr>
      <w:r>
        <w:rPr>
          <w:rFonts w:ascii="Times New Roman" w:hAnsi="Times New Roman"/>
          <w:b/>
          <w:color w:val="000000"/>
          <w:sz w:val="36"/>
        </w:rPr>
        <w:t>Manuscript Tables</w:t>
      </w:r>
    </w:p>
    <w:p w:rsidR="005F4079" w:rsidRDefault="00685170">
      <w:pPr>
        <w:spacing w:before="0" w:after="160"/>
        <w:jc w:val="center"/>
      </w:pPr>
      <w:r/>
      <w:r>
        <w:rPr>
          <w:rFonts w:ascii="Times New Roman" w:hAnsi="Times New Roman"/>
          <w:b/>
          <w:i/>
          <w:color w:val="000000"/>
          <w:sz w:val="23"/>
        </w:rPr>
        <w:t>Applying Causal Machine Learning and Multi-Omics Integration to Unravel Gene Regulatory Networks in Triple-Negative Breast Cancer (TNBC)</w:t>
      </w:r>
    </w:p>
    <w:p w:rsidR="005F4079" w:rsidRDefault="00685170">
      <w:pPr>
        <w:spacing w:after="80" w:before="0"/>
        <w:jc w:val="center"/>
      </w:pPr>
      <w:r/>
      <w:r>
        <w:rPr>
          <w:rFonts w:ascii="Times New Roman" w:hAnsi="Times New Roman"/>
          <w:b w:val="0"/>
          <w:color w:val="000000"/>
          <w:sz w:val="22"/>
        </w:rPr>
        <w:t>Omar Faroque¹, Mst. Homayra Jannaty¹, Shahriar Ahmed Abir², Suman Biswas¹*</w:t>
      </w:r>
    </w:p>
    <w:p w:rsidR="005F4079" w:rsidRDefault="00685170">
      <w:pPr>
        <w:spacing w:after="280" w:before="0"/>
        <w:jc w:val="center"/>
      </w:pPr>
      <w:r/>
      <w:r>
        <w:rPr>
          <w:rFonts w:ascii="Times New Roman" w:hAnsi="Times New Roman"/>
          <w:i/>
          <w:color w:val="000000"/>
          <w:sz w:val="19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t>Table 1. Overview of the single-cell CRISPRi perturbation dataset and cohort parameters in TNBC (GSE224986).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968"/>
        <w:gridCol w:w="4968"/>
      </w:tblGrid>
      <w:tr w:rsidR="005F4079">
        <w:trPr>
          <w:cantSplit/>
          <w:tblHeader/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Metric / Parameter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Value / Description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Organism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Homo sapiens (Human)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Breast Cancer Subtype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Triple-Negative Breast Cancer (TNBC)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Cell</w:t>
            </w:r>
            <w:r>
              <w:rPr>
                <w:rFonts w:ascii="Times New Roman" w:hAnsi="Times New Roman"/>
                <w:color w:val="000000"/>
                <w:sz w:val="19"/>
              </w:rPr>
              <w:t xml:space="preserve"> Line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MDA-MB-231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CRISPR Perturbation Modality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CRISPR interference (CRISPRi / dCas9-KRAB)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Screen 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Somatic Mutation Regulatory Enhancer Screen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Sequenced Cells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95,678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Filtered Genes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32,799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CRISPRi Guides Preserved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11,975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Target </w:t>
            </w:r>
            <w:r>
              <w:rPr>
                <w:rFonts w:ascii="Times New Roman" w:hAnsi="Times New Roman"/>
                <w:color w:val="000000"/>
                <w:sz w:val="19"/>
              </w:rPr>
              <w:t>Enhancer Loci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819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Single-Guide Perturbation Cohort (Primary Causal Analysis)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3,930 cells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Multi-Guide Combinatorial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83,981 cells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Unassigned / Control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7,767 cells</w:t>
            </w:r>
          </w:p>
        </w:tc>
      </w:tr>
      <w:tr w:rsidR="005F4079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Experimental 10x Genomics Lanes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 w:rsidP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8 lanes (Lanes 1-8)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Single-cell </w:t>
      </w:r>
      <w:r>
        <w:rPr>
          <w:rFonts w:ascii="Times New Roman" w:hAnsi="Times New Roman"/>
          <w:color w:val="000000"/>
          <w:sz w:val="18"/>
        </w:rPr>
        <w:t>libraries were generated using 10x Genomics Chromium 3' chemistry with direct guide capture across 8 lanes (Lewis et al., 2024). Full cell metadata also preserved in Supplementary Data 1.</w:t>
      </w:r>
    </w:p>
    <w:p w:rsidR="005F4079" w:rsidRDefault="005F4079">
      <w:pPr>
        <w:sectPr w:rsidR="005F4079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  <w:bookmarkStart w:id="0" w:name="_GoBack"/>
      <w:bookmarkEnd w:id="0"/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2. Top transcription factors physically bound to p</w:t>
      </w:r>
      <w:r>
        <w:rPr>
          <w:rFonts w:ascii="Times New Roman" w:hAnsi="Times New Roman"/>
          <w:b/>
          <w:color w:val="000000"/>
        </w:rPr>
        <w:t>erturbed enhancers in TNBC (ENCODE ChIP-seq priors).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5F4079">
        <w:trPr>
          <w:cantSplit/>
          <w:tblHeader/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Target Enhancers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Total Binding Events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Mean ChIP Confidence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Max ChIP Confidence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253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485.6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511.4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175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186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557.3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166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517.9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RAD21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406.3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IKZF1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445.7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545.1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REST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323.9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559.1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553.4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570.8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5F4079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YY1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470.5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Top 12 transcription factors ranked by target </w:t>
      </w:r>
      <w:r>
        <w:rPr>
          <w:rFonts w:ascii="Times New Roman" w:hAnsi="Times New Roman"/>
          <w:color w:val="000000"/>
          <w:sz w:val="18"/>
        </w:rPr>
        <w:t>enhancer occupancy shown. Complete 15,059-edge prior matrix provided in Supplementary Table 1 (Supplementary_Table_1_Full_15k_TF_Enhancer_Priors.xlsx).</w:t>
      </w:r>
    </w:p>
    <w:p w:rsidR="005F4079" w:rsidRDefault="005F4079">
      <w:pPr>
        <w:sectPr w:rsidR="005F4079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3. Top master causal transcription factors prioritized in the triangulated TNBC regula</w:t>
      </w:r>
      <w:r>
        <w:rPr>
          <w:rFonts w:ascii="Times New Roman" w:hAnsi="Times New Roman"/>
          <w:b/>
          <w:color w:val="000000"/>
        </w:rPr>
        <w:t>tory network.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5F4079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Controlled 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Total Causal Edges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Mean Causal Weight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Max Causal Weight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118738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42.42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110463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50.84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75316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2.49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45.33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67275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32.42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IKZF1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63658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2.02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29.38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RAD21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2041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63166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37.77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REST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2024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62513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1.53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32.76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61079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40.82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60903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2.92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29.59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59043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2.72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38.42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55113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3.11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34.04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54762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47.84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</w:t>
      </w:r>
      <w:r>
        <w:rPr>
          <w:rFonts w:ascii="Times New Roman" w:hAnsi="Times New Roman"/>
          <w:color w:val="000000"/>
          <w:sz w:val="18"/>
        </w:rPr>
        <w:t>Top 12 causal regulators ranked by total causal outgoing edges shown. Complete multi-million causal edge matrix provided in Supplementary Data 3.</w:t>
      </w:r>
    </w:p>
    <w:p w:rsidR="005F4079" w:rsidRDefault="005F4079">
      <w:pPr>
        <w:sectPr w:rsidR="005F4079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 xml:space="preserve">Table 4. Prioritized TNBC transcriptional master drivers with network centrality and </w:t>
      </w:r>
      <w:r>
        <w:rPr>
          <w:rFonts w:ascii="Times New Roman" w:hAnsi="Times New Roman"/>
          <w:b/>
          <w:color w:val="000000"/>
        </w:rPr>
        <w:t>phenotypic scores.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5F4079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Driver TF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PageRank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Cumulative Weight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Upregulated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Downregulated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Score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272,518.4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2201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0.9861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280,330.4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2124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0.9827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191,912.5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0.8086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0.000372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187,335.6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0.8061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177,786.0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0.7675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171,489.5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0.7540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160,854.3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0.7438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155,256.3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0.7325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0.000361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158,059.2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0.7314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156,198.2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0.7294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>Note: Top 10 prioritized drivers ranked by Master Regulatory Score shown. Complete 25-driver cohort provided in repository table.</w:t>
      </w:r>
    </w:p>
    <w:p w:rsidR="005F4079" w:rsidRDefault="005F4079">
      <w:pPr>
        <w:sectPr w:rsidR="005F4079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5. Explainable AI (SHAP) feature attribution ranki</w:t>
      </w:r>
      <w:r>
        <w:rPr>
          <w:rFonts w:ascii="Times New Roman" w:hAnsi="Times New Roman"/>
          <w:b/>
          <w:color w:val="000000"/>
        </w:rPr>
        <w:t>ngs and causal regulatory weights for master transcriptional drivers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5F4079">
        <w:trPr>
          <w:cantSplit/>
          <w:tblHeader/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Master Regulator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Mean Absolute SHAP Impact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Feature Weight Sum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0.029582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3,798.18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0.017427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3,391.99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0.012536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3,594.96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0.011668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3,690.95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0.008296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4,484.27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HDAC2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0.006833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3,451.96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SIN3A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0.006764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3,713.95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0.005498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3,979.86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0.004045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4,186.99</w:t>
            </w:r>
          </w:p>
        </w:tc>
      </w:tr>
      <w:tr w:rsidR="005F4079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0.003714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3,931.08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SHAP values computed via TreeExplainer from XGBoost Regressors predicting target gene perturbation responsiveness </w:t>
      </w:r>
      <w:r>
        <w:rPr>
          <w:rFonts w:ascii="Times New Roman" w:hAnsi="Times New Roman"/>
          <w:color w:val="000000"/>
          <w:sz w:val="18"/>
        </w:rPr>
        <w:t>(test R2 = 0.742).</w:t>
      </w:r>
    </w:p>
    <w:p w:rsidR="005F4079" w:rsidRDefault="005F4079">
      <w:pPr>
        <w:sectPr w:rsidR="005F4079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6. Quantitative benchmarking performance metrics across GRN reconstruction methods in TNBC single-cell perturbation data.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5F4079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Method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AUROC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AUPRC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Precision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Recall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F1-Score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False Discovery Rate (FDR)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Triangulated Causal ML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0.8999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0.8745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0.9013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0.5633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0.6933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0.0987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ChIP-seq Prior Alone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0.8890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0.7560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0.4725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0.5815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0.2440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Co-expression (Correlation)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0.6814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0.6773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0.4233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0.5210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0.3227</w:t>
            </w:r>
          </w:p>
        </w:tc>
      </w:tr>
      <w:tr w:rsidR="005F4079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GENIE3 (Tree Regression)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0.6698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0.6323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0.6427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0.4017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0.4944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0.3573</w:t>
            </w:r>
          </w:p>
        </w:tc>
      </w:tr>
    </w:tbl>
    <w:p w:rsidR="005F4079" w:rsidRDefault="0068517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>Note: Benchmarked against held-out experimental CRISPRi ground truth (|log2 FC| &gt;= 0.50, |t| &gt;= 3.0) and negative control edges in MDA-MB-231 cells.</w:t>
      </w:r>
    </w:p>
    <w:p w:rsidR="005F4079" w:rsidRDefault="005F4079">
      <w:pPr>
        <w:sectPr w:rsidR="005F4079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5F4079" w:rsidRDefault="00685170">
      <w:pPr>
        <w:spacing w:before="80" w:after="120"/>
        <w:jc w:val="both"/>
      </w:pPr>
      <w:r>
        <w:rPr>
          <w:rFonts w:ascii="Times New Roman" w:hAnsi="Times New Roman"/>
          <w:b/>
          <w:color w:val="000000"/>
        </w:rPr>
        <w:lastRenderedPageBreak/>
        <w:t>Table 7. Actionable therapeutic targets, inhibitor classes, clinical trial</w:t>
      </w:r>
      <w:r>
        <w:rPr>
          <w:rFonts w:ascii="Times New Roman" w:hAnsi="Times New Roman"/>
          <w:b/>
          <w:color w:val="000000"/>
        </w:rPr>
        <w:t xml:space="preserve"> phases, and predicted network sensitivity scores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5F4079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Regulator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Mechanism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Candidate Inhibitors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Clinical Phase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Mechanism of Action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Sensitivity Score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Super-Enhancer / BRD4 Transcription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JQ1, OTX015 (Birabresib), THZ1 (CDK7i)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 xml:space="preserve">Phase </w:t>
            </w:r>
            <w:r>
              <w:rPr>
                <w:rFonts w:ascii="Times New Roman" w:hAnsi="Times New Roman"/>
                <w:color w:val="000000"/>
                <w:sz w:val="17"/>
              </w:rPr>
              <w:t>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Disrupts BRD4 chromatin remodeling at oncogenic super-enhancers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0.94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Histone Acetyltransferase (HAT) Domain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A-485, CCS1477 (Inobrodib)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Blocks histone H3K27 acetylation, collapsing enhancer clusters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Class I Histone Deacetylase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Vorinostat (SAHA), Entinostat, Panobinostat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FDA Approved / Phase II in TNBC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Reverses epigenetic silencing of pro-apoptotic genes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0.85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 / 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AP-1 Dimerization &amp; DNA Binding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T-5224, Verteporfin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 xml:space="preserve">Preclinical / </w:t>
            </w:r>
            <w:r>
              <w:rPr>
                <w:rFonts w:ascii="Times New Roman" w:hAnsi="Times New Roman"/>
                <w:color w:val="000000"/>
                <w:sz w:val="17"/>
              </w:rPr>
              <w:t>Repurposed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Inhibits AP-1 DNA binding; suppresses EMT and metastasis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0.82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Zinc Finger 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Mithramycin A, EC-8042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 / Preclinical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Binds GC-rich promoters, displacing oncogenic transcriptional initiation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0.78</w:t>
            </w:r>
          </w:p>
        </w:tc>
      </w:tr>
      <w:tr w:rsidR="005F4079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MYC-MAX Dimerizat</w:t>
            </w:r>
            <w:r>
              <w:rPr>
                <w:rFonts w:ascii="Times New Roman" w:hAnsi="Times New Roman"/>
                <w:color w:val="000000"/>
                <w:sz w:val="17"/>
              </w:rPr>
              <w:t>ion Interface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10058-F4, MYCMI-6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Preclinical Evaluation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Directly disrupts heterodimerization with MYC to block target transactivation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5F4079" w:rsidRDefault="0068517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</w:t>
            </w:r>
          </w:p>
        </w:tc>
      </w:tr>
    </w:tbl>
    <w:p w:rsidR="005F4079" w:rsidRDefault="00685170">
      <w:pPr>
        <w:spacing w:before="120" w:after="0"/>
        <w:jc w:val="both"/>
      </w:pPr>
      <w:r>
        <w:rPr>
          <w:rFonts w:ascii="Times New Roman" w:hAnsi="Times New Roman"/>
          <w:color w:val="000000"/>
          <w:sz w:val="18"/>
        </w:rPr>
        <w:t xml:space="preserve">Note: Predicted sensitivity scores derived from in silico topological network repression upon simulated target </w:t>
      </w:r>
      <w:r>
        <w:rPr>
          <w:rFonts w:ascii="Times New Roman" w:hAnsi="Times New Roman"/>
          <w:color w:val="000000"/>
          <w:sz w:val="18"/>
        </w:rPr>
        <w:t>inactivation.</w:t>
      </w:r>
    </w:p>
    <w:sectPr w:rsidR="005F4079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4079"/>
    <w:rsid w:val="0068517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519BB7D-B359-4097-B7C8-98C20A09A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93E2EBE-C765-4D15-864C-6FADC4CE1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1308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R Computer</cp:lastModifiedBy>
  <cp:revision>2</cp:revision>
  <dcterms:created xsi:type="dcterms:W3CDTF">2013-12-23T23:15:00Z</dcterms:created>
  <dcterms:modified xsi:type="dcterms:W3CDTF">2026-10-23T13:21:00Z</dcterms:modified>
  <cp:category/>
</cp:coreProperties>
</file>