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line="276" w:lineRule="auto"/>
        <w:jc w:val="center"/>
      </w:pPr>
      <w:r>
        <w:rPr>
          <w:rFonts w:ascii="Times New Roman" w:hAnsi="Times New Roman"/>
          <w:b/>
          <w:i w:val="0"/>
          <w:color w:val="000000"/>
          <w:sz w:val="32"/>
        </w:rPr>
        <w:t>Point-by-Point Response to Supervisor Review Comments</w:t>
      </w:r>
    </w:p>
    <w:p>
      <w:pPr>
        <w:spacing w:before="0" w:after="120" w:line="276" w:lineRule="auto"/>
        <w:jc w:val="center"/>
      </w:pPr>
      <w:r>
        <w:rPr>
          <w:rFonts w:ascii="Times New Roman" w:hAnsi="Times New Roman"/>
          <w:b/>
          <w:i/>
          <w:color w:val="000000"/>
          <w:sz w:val="22"/>
        </w:rPr>
        <w:t>Manuscript Title: Integrating CRISPRi Perturbation Responses and Transcription-Factor Binding Priors for Regulatory Network Inference in Triple-Negative Breast Cancer</w:t>
      </w:r>
    </w:p>
    <w:p>
      <w:pPr>
        <w:spacing w:before="0" w:after="40" w:line="276" w:lineRule="auto"/>
        <w:jc w:val="center"/>
      </w:pPr>
      <w:r>
        <w:rPr>
          <w:rFonts w:ascii="Times New Roman" w:hAnsi="Times New Roman"/>
          <w:b w:val="0"/>
          <w:i w:val="0"/>
          <w:color w:val="000000"/>
          <w:sz w:val="21"/>
        </w:rPr>
        <w:t>Omar Faroque¹, Mst. Homayra Jannaty¹, Shahriar Ahmed Abir², Suman Biswas¹*</w:t>
      </w:r>
    </w:p>
    <w:p>
      <w:pPr>
        <w:spacing w:before="0" w:after="280" w:line="276" w:lineRule="auto"/>
        <w:jc w:val="center"/>
      </w:pPr>
      <w:r>
        <w:rPr>
          <w:rFonts w:ascii="Times New Roman" w:hAnsi="Times New Roman"/>
          <w:b w:val="0"/>
          <w:i/>
          <w:color w:val="000000"/>
          <w:sz w:val="18"/>
        </w:rPr>
        <w:t>¹ Department of Statistics, Faculty of Sciences, Islamic University, Kushtia-7003, Bangladesh</w:t>
        <w:br/>
        <w:t>² Department of Biotechnology and Genetic Engineering, Faculty of Biological Sciences, Islamic University, Kushtia-7003, Bangladesh</w:t>
        <w:br/>
        <w:t>* Corresponding Author: suman@stat.iu.ac.bd</w:t>
      </w:r>
    </w:p>
    <w:p>
      <w:pPr>
        <w:keepNext/>
        <w:spacing w:before="280" w:after="80"/>
      </w:pPr>
      <w:r>
        <w:rPr>
          <w:rFonts w:ascii="Times New Roman" w:hAnsi="Times New Roman"/>
          <w:b/>
          <w:color w:val="000000"/>
          <w:sz w:val="27"/>
        </w:rPr>
        <w:t>Executive Overview of Manuscript Revisions</w:t>
      </w:r>
    </w:p>
    <w:p>
      <w:pPr>
        <w:spacing w:before="60" w:after="80" w:line="276" w:lineRule="auto"/>
        <w:jc w:val="both"/>
      </w:pPr>
      <w:r>
        <w:rPr>
          <w:rFonts w:ascii="Times New Roman" w:hAnsi="Times New Roman"/>
          <w:b w:val="0"/>
          <w:i w:val="0"/>
          <w:color w:val="000000"/>
          <w:sz w:val="21"/>
        </w:rPr>
        <w:t>We express our sincere gratitude to the supervisor for this comprehensive, incisive, and constructive review. Every point raised has been systematically evaluated and integrated into the revised manuscript. All native mathematical equations (Equation 1, two-sample Welch $t$-test, PageRank formulation, XGBoost objective function, Cox proportional hazards regression) and formatting structures (Times New Roman, booktabs borders, pure black text) have been strictly preserved.</w:t>
      </w:r>
    </w:p>
    <w:p>
      <w:pPr>
        <w:spacing w:before="60" w:after="80" w:line="276" w:lineRule="auto"/>
        <w:jc w:val="both"/>
      </w:pPr>
      <w:r>
        <w:rPr>
          <w:rFonts w:ascii="Times New Roman" w:hAnsi="Times New Roman"/>
          <w:b w:val="0"/>
          <w:i w:val="0"/>
          <w:color w:val="000000"/>
          <w:sz w:val="21"/>
        </w:rPr>
        <w:t>Below is the itemized summary of actions taken across the major themes:</w:t>
      </w:r>
    </w:p>
    <w:p>
      <w:pPr>
        <w:keepNext/>
        <w:spacing w:before="280" w:after="80"/>
      </w:pPr>
      <w:r>
        <w:rPr>
          <w:rFonts w:ascii="Times New Roman" w:hAnsi="Times New Roman"/>
          <w:b/>
          <w:color w:val="000000"/>
          <w:sz w:val="27"/>
        </w:rPr>
        <w:t>Theme 1: Title, Methodological Framing &amp; Causal Language (Comments 1, 2, 43, 44, 48)</w:t>
      </w:r>
    </w:p>
    <w:p>
      <w:pPr>
        <w:spacing w:before="60" w:after="40" w:line="276" w:lineRule="auto"/>
        <w:ind w:left="360"/>
      </w:pPr>
      <w:r>
        <w:rPr>
          <w:rFonts w:ascii="Times New Roman" w:hAnsi="Times New Roman"/>
          <w:color w:val="000000"/>
          <w:sz w:val="21"/>
        </w:rPr>
        <w:t xml:space="preserve">• </w:t>
      </w:r>
      <w:r>
        <w:rPr>
          <w:rFonts w:ascii="Times New Roman" w:hAnsi="Times New Roman"/>
          <w:b/>
          <w:color w:val="000000"/>
          <w:sz w:val="21"/>
        </w:rPr>
        <w:t>Comment 48 (Title Scoping):</w:t>
      </w:r>
      <w:r>
        <w:rPr>
          <w:rFonts w:ascii="Times New Roman" w:hAnsi="Times New Roman"/>
          <w:color w:val="000000"/>
          <w:sz w:val="21"/>
        </w:rPr>
      </w:r>
    </w:p>
    <w:p>
      <w:pPr>
        <w:spacing w:before="60" w:after="80" w:line="276" w:lineRule="auto"/>
        <w:jc w:val="both"/>
      </w:pPr>
      <w:r>
        <w:rPr>
          <w:rFonts w:ascii="Times New Roman" w:hAnsi="Times New Roman"/>
          <w:b w:val="0"/>
          <w:i w:val="0"/>
          <w:color w:val="000000"/>
          <w:sz w:val="21"/>
        </w:rPr>
        <w:t>* *Action Taken:* We have fully adopted the supervisor's recommended title across all manuscript and supplementary files:</w:t>
      </w:r>
    </w:p>
    <w:p>
      <w:pPr>
        <w:spacing w:before="80" w:after="80" w:line="276" w:lineRule="auto"/>
        <w:jc w:val="center"/>
      </w:pPr>
      <w:r>
        <w:rPr>
          <w:rFonts w:ascii="Times New Roman" w:hAnsi="Times New Roman"/>
          <w:b/>
          <w:i/>
          <w:color w:val="000000"/>
          <w:sz w:val="21"/>
        </w:rPr>
        <w:t>**`Integrating CRISPRi Perturbation Responses and Transcription-Factor Binding Priors for Regulatory Network Inference in Triple-Negative Breast Cancer`**</w:t>
      </w:r>
    </w:p>
    <w:p>
      <w:pPr>
        <w:spacing w:before="60" w:after="40" w:line="276" w:lineRule="auto"/>
        <w:ind w:left="360"/>
      </w:pPr>
      <w:r>
        <w:rPr>
          <w:rFonts w:ascii="Times New Roman" w:hAnsi="Times New Roman"/>
          <w:color w:val="000000"/>
          <w:sz w:val="21"/>
        </w:rPr>
        <w:t xml:space="preserve">• </w:t>
      </w:r>
      <w:r>
        <w:rPr>
          <w:rFonts w:ascii="Times New Roman" w:hAnsi="Times New Roman"/>
          <w:b/>
          <w:color w:val="000000"/>
          <w:sz w:val="21"/>
        </w:rPr>
        <w:t>Comments 1 &amp; 2 (Causal Claims vs. Evidence Integration):</w:t>
      </w:r>
      <w:r>
        <w:rPr>
          <w:rFonts w:ascii="Times New Roman" w:hAnsi="Times New Roman"/>
          <w:color w:val="000000"/>
          <w:sz w:val="21"/>
        </w:rPr>
      </w:r>
    </w:p>
    <w:p>
      <w:pPr>
        <w:spacing w:before="60" w:after="80" w:line="276" w:lineRule="auto"/>
        <w:jc w:val="both"/>
      </w:pPr>
      <w:r>
        <w:rPr>
          <w:rFonts w:ascii="Times New Roman" w:hAnsi="Times New Roman"/>
          <w:b w:val="0"/>
          <w:i w:val="0"/>
          <w:color w:val="000000"/>
          <w:sz w:val="21"/>
        </w:rPr>
        <w:t>* *Action Taken:* We revised the framing throughout the Abstract, Introduction, Results, and Discussion. The output is now explicitly described as a **"perturbation-supported, TF-binding-prior-informed regulatory network."** Direct causal claims are strictly reserved for the experimental enhancer perturbation links ($\text{Enhancer} \to \text{Gene}$ under CRISPRi), while the physical upstream link ($\text{TF} \to \text{Enhancer}$) is explicitly presented as an observational chromatin prior derived from ENCODE ChIP-seq.</w:t>
      </w:r>
    </w:p>
    <w:p>
      <w:pPr>
        <w:spacing w:before="60" w:after="40" w:line="276" w:lineRule="auto"/>
        <w:ind w:left="360"/>
      </w:pPr>
      <w:r>
        <w:rPr>
          <w:rFonts w:ascii="Times New Roman" w:hAnsi="Times New Roman"/>
          <w:color w:val="000000"/>
          <w:sz w:val="21"/>
        </w:rPr>
        <w:t xml:space="preserve">• </w:t>
      </w:r>
      <w:r>
        <w:rPr>
          <w:rFonts w:ascii="Times New Roman" w:hAnsi="Times New Roman"/>
          <w:b/>
          <w:color w:val="000000"/>
          <w:sz w:val="21"/>
        </w:rPr>
        <w:t>Comments 43 &amp; 44 (Tone &amp; Terminology Moderation):</w:t>
      </w:r>
      <w:r>
        <w:rPr>
          <w:rFonts w:ascii="Times New Roman" w:hAnsi="Times New Roman"/>
          <w:color w:val="000000"/>
          <w:sz w:val="21"/>
        </w:rPr>
      </w:r>
    </w:p>
    <w:p>
      <w:pPr>
        <w:spacing w:before="60" w:after="80" w:line="276" w:lineRule="auto"/>
        <w:jc w:val="both"/>
      </w:pPr>
      <w:r>
        <w:rPr>
          <w:rFonts w:ascii="Times New Roman" w:hAnsi="Times New Roman"/>
          <w:b w:val="0"/>
          <w:i w:val="0"/>
          <w:color w:val="000000"/>
          <w:sz w:val="21"/>
        </w:rPr>
        <w:t>* *Action Taken:* All promotional adjectives (*"catastrophic limitations,"* *"mathematically required,"* *"decisively overcomes,"* *"gold-standard"*) have been eliminated and replaced with objective, evidence-based academic language (*e.g., "substantial inferential challenges," "effectively reduces false discoveries," "established preclinical model"*).</w:t>
      </w:r>
    </w:p>
    <w:p>
      <w:pPr>
        <w:keepNext/>
        <w:spacing w:before="280" w:after="80"/>
      </w:pPr>
      <w:r>
        <w:rPr>
          <w:rFonts w:ascii="Times New Roman" w:hAnsi="Times New Roman"/>
          <w:b/>
          <w:color w:val="000000"/>
          <w:sz w:val="27"/>
        </w:rPr>
        <w:t>Theme 2: Network Decomposition &amp; The 6.36M Paths (Comments 3, 32, 33)</w:t>
      </w:r>
    </w:p>
    <w:p>
      <w:pPr>
        <w:spacing w:before="60" w:after="40" w:line="276" w:lineRule="auto"/>
        <w:ind w:left="360"/>
      </w:pPr>
      <w:r>
        <w:rPr>
          <w:rFonts w:ascii="Times New Roman" w:hAnsi="Times New Roman"/>
          <w:color w:val="000000"/>
          <w:sz w:val="21"/>
        </w:rPr>
        <w:t xml:space="preserve">• </w:t>
      </w:r>
      <w:r>
        <w:rPr>
          <w:rFonts w:ascii="Times New Roman" w:hAnsi="Times New Roman"/>
          <w:b/>
          <w:color w:val="000000"/>
          <w:sz w:val="21"/>
        </w:rPr>
        <w:t>Comments 3 &amp; 32 (Network Entity Breakdown):</w:t>
      </w:r>
      <w:r>
        <w:rPr>
          <w:rFonts w:ascii="Times New Roman" w:hAnsi="Times New Roman"/>
          <w:color w:val="000000"/>
          <w:sz w:val="21"/>
        </w:rPr>
      </w:r>
    </w:p>
    <w:p>
      <w:pPr>
        <w:spacing w:before="60" w:after="80" w:line="276" w:lineRule="auto"/>
        <w:jc w:val="both"/>
      </w:pPr>
      <w:r>
        <w:rPr>
          <w:rFonts w:ascii="Times New Roman" w:hAnsi="Times New Roman"/>
          <w:b w:val="0"/>
          <w:i w:val="0"/>
          <w:color w:val="000000"/>
          <w:sz w:val="21"/>
        </w:rPr>
        <w:t>* *Action Taken:* Section 3.4 and Table 3 have been updated to report the exact mathematical decomposition of the network:</w:t>
      </w:r>
    </w:p>
    <w:p>
      <w:pPr>
        <w:spacing w:before="60" w:after="40" w:line="276" w:lineRule="auto"/>
        <w:ind w:left="360"/>
      </w:pPr>
      <w:r>
        <w:rPr>
          <w:rFonts w:ascii="Times New Roman" w:hAnsi="Times New Roman"/>
          <w:color w:val="000000"/>
          <w:sz w:val="21"/>
        </w:rPr>
        <w:t xml:space="preserve">• </w:t>
      </w:r>
      <w:r>
        <w:rPr>
          <w:rFonts w:ascii="Times New Roman" w:hAnsi="Times New Roman"/>
          <w:b/>
          <w:color w:val="000000"/>
          <w:sz w:val="21"/>
        </w:rPr>
        <w:t>Total Tripartite Paths ($\text{TF} \to \text{Enhancer} \to \text{Gene}$):</w:t>
      </w:r>
      <w:r>
        <w:rPr>
          <w:rFonts w:ascii="Times New Roman" w:hAnsi="Times New Roman"/>
          <w:color w:val="000000"/>
          <w:sz w:val="21"/>
        </w:rPr>
        <w:t xml:space="preserve"> </w:t>
      </w:r>
      <w:r>
        <w:rPr>
          <w:rFonts w:ascii="Times New Roman" w:hAnsi="Times New Roman"/>
          <w:b/>
          <w:color w:val="000000"/>
          <w:sz w:val="21"/>
        </w:rPr>
        <w:t>`6,366,349`</w:t>
      </w:r>
      <w:r>
        <w:rPr>
          <w:rFonts w:ascii="Times New Roman" w:hAnsi="Times New Roman"/>
          <w:color w:val="000000"/>
          <w:sz w:val="21"/>
        </w:rPr>
      </w:r>
    </w:p>
    <w:p>
      <w:pPr>
        <w:spacing w:before="60" w:after="40" w:line="276" w:lineRule="auto"/>
        <w:ind w:left="360"/>
      </w:pPr>
      <w:r>
        <w:rPr>
          <w:rFonts w:ascii="Times New Roman" w:hAnsi="Times New Roman"/>
          <w:color w:val="000000"/>
          <w:sz w:val="21"/>
        </w:rPr>
        <w:t xml:space="preserve">• </w:t>
      </w:r>
      <w:r>
        <w:rPr>
          <w:rFonts w:ascii="Times New Roman" w:hAnsi="Times New Roman"/>
          <w:b/>
          <w:color w:val="000000"/>
          <w:sz w:val="21"/>
        </w:rPr>
        <w:t>Unique (TF $\to$ Enhancer) Physical Edges:</w:t>
      </w:r>
      <w:r>
        <w:rPr>
          <w:rFonts w:ascii="Times New Roman" w:hAnsi="Times New Roman"/>
          <w:color w:val="000000"/>
          <w:sz w:val="21"/>
        </w:rPr>
        <w:t xml:space="preserve"> </w:t>
      </w:r>
      <w:r>
        <w:rPr>
          <w:rFonts w:ascii="Times New Roman" w:hAnsi="Times New Roman"/>
          <w:b/>
          <w:color w:val="000000"/>
          <w:sz w:val="21"/>
        </w:rPr>
        <w:t>`5,935`</w:t>
      </w:r>
      <w:r>
        <w:rPr>
          <w:rFonts w:ascii="Times New Roman" w:hAnsi="Times New Roman"/>
          <w:color w:val="000000"/>
          <w:sz w:val="21"/>
        </w:rPr>
      </w:r>
    </w:p>
    <w:p>
      <w:pPr>
        <w:spacing w:before="60" w:after="40" w:line="276" w:lineRule="auto"/>
        <w:ind w:left="360"/>
      </w:pPr>
      <w:r>
        <w:rPr>
          <w:rFonts w:ascii="Times New Roman" w:hAnsi="Times New Roman"/>
          <w:color w:val="000000"/>
          <w:sz w:val="21"/>
        </w:rPr>
        <w:t xml:space="preserve">• </w:t>
      </w:r>
      <w:r>
        <w:rPr>
          <w:rFonts w:ascii="Times New Roman" w:hAnsi="Times New Roman"/>
          <w:b/>
          <w:color w:val="000000"/>
          <w:sz w:val="21"/>
        </w:rPr>
        <w:t>Unique (Enhancer $\to$ Gene) Functional Edges:</w:t>
      </w:r>
      <w:r>
        <w:rPr>
          <w:rFonts w:ascii="Times New Roman" w:hAnsi="Times New Roman"/>
          <w:color w:val="000000"/>
          <w:sz w:val="21"/>
        </w:rPr>
        <w:t xml:space="preserve"> </w:t>
      </w:r>
      <w:r>
        <w:rPr>
          <w:rFonts w:ascii="Times New Roman" w:hAnsi="Times New Roman"/>
          <w:b/>
          <w:color w:val="000000"/>
          <w:sz w:val="21"/>
        </w:rPr>
        <w:t>`383,757`</w:t>
      </w:r>
      <w:r>
        <w:rPr>
          <w:rFonts w:ascii="Times New Roman" w:hAnsi="Times New Roman"/>
          <w:color w:val="000000"/>
          <w:sz w:val="21"/>
        </w:rPr>
      </w:r>
    </w:p>
    <w:p>
      <w:pPr>
        <w:spacing w:before="60" w:after="40" w:line="276" w:lineRule="auto"/>
        <w:ind w:left="360"/>
      </w:pPr>
      <w:r>
        <w:rPr>
          <w:rFonts w:ascii="Times New Roman" w:hAnsi="Times New Roman"/>
          <w:color w:val="000000"/>
          <w:sz w:val="21"/>
        </w:rPr>
        <w:t xml:space="preserve">• </w:t>
      </w:r>
      <w:r>
        <w:rPr>
          <w:rFonts w:ascii="Times New Roman" w:hAnsi="Times New Roman"/>
          <w:b/>
          <w:color w:val="000000"/>
          <w:sz w:val="21"/>
        </w:rPr>
        <w:t>Unique (TF $\to$ Target Gene) Functional Pairs:</w:t>
      </w:r>
      <w:r>
        <w:rPr>
          <w:rFonts w:ascii="Times New Roman" w:hAnsi="Times New Roman"/>
          <w:color w:val="000000"/>
          <w:sz w:val="21"/>
        </w:rPr>
        <w:t xml:space="preserve"> </w:t>
      </w:r>
      <w:r>
        <w:rPr>
          <w:rFonts w:ascii="Times New Roman" w:hAnsi="Times New Roman"/>
          <w:b/>
          <w:color w:val="000000"/>
          <w:sz w:val="21"/>
        </w:rPr>
        <w:t>`542,760`</w:t>
      </w:r>
      <w:r>
        <w:rPr>
          <w:rFonts w:ascii="Times New Roman" w:hAnsi="Times New Roman"/>
          <w:color w:val="000000"/>
          <w:sz w:val="21"/>
        </w:rPr>
      </w:r>
    </w:p>
    <w:p>
      <w:pPr>
        <w:spacing w:before="60" w:after="40" w:line="276" w:lineRule="auto"/>
        <w:ind w:left="360"/>
      </w:pPr>
      <w:r>
        <w:rPr>
          <w:rFonts w:ascii="Times New Roman" w:hAnsi="Times New Roman"/>
          <w:color w:val="000000"/>
          <w:sz w:val="21"/>
        </w:rPr>
        <w:t xml:space="preserve">• </w:t>
      </w:r>
      <w:r>
        <w:rPr>
          <w:rFonts w:ascii="Times New Roman" w:hAnsi="Times New Roman"/>
          <w:b/>
          <w:color w:val="000000"/>
          <w:sz w:val="21"/>
        </w:rPr>
        <w:t>Unique Active Enhancers:</w:t>
      </w:r>
      <w:r>
        <w:rPr>
          <w:rFonts w:ascii="Times New Roman" w:hAnsi="Times New Roman"/>
          <w:color w:val="000000"/>
          <w:sz w:val="21"/>
        </w:rPr>
        <w:t xml:space="preserve"> </w:t>
      </w:r>
      <w:r>
        <w:rPr>
          <w:rFonts w:ascii="Times New Roman" w:hAnsi="Times New Roman"/>
          <w:b/>
          <w:color w:val="000000"/>
          <w:sz w:val="21"/>
        </w:rPr>
        <w:t>`372`</w:t>
      </w:r>
      <w:r>
        <w:rPr>
          <w:rFonts w:ascii="Times New Roman" w:hAnsi="Times New Roman"/>
          <w:color w:val="000000"/>
          <w:sz w:val="21"/>
        </w:rPr>
        <w:t xml:space="preserve"> (Mean targets/enhancer: $1,595.6$; Median: $1,596.0$)</w:t>
      </w:r>
    </w:p>
    <w:p>
      <w:pPr>
        <w:spacing w:before="60" w:after="40" w:line="276" w:lineRule="auto"/>
        <w:ind w:left="360"/>
      </w:pPr>
      <w:r>
        <w:rPr>
          <w:rFonts w:ascii="Times New Roman" w:hAnsi="Times New Roman"/>
          <w:color w:val="000000"/>
          <w:sz w:val="21"/>
        </w:rPr>
        <w:t xml:space="preserve">• </w:t>
      </w:r>
      <w:r>
        <w:rPr>
          <w:rFonts w:ascii="Times New Roman" w:hAnsi="Times New Roman"/>
          <w:b/>
          <w:color w:val="000000"/>
          <w:sz w:val="21"/>
        </w:rPr>
        <w:t>Unique Regulating TFs:</w:t>
      </w:r>
      <w:r>
        <w:rPr>
          <w:rFonts w:ascii="Times New Roman" w:hAnsi="Times New Roman"/>
          <w:color w:val="000000"/>
          <w:sz w:val="21"/>
        </w:rPr>
        <w:t xml:space="preserve"> </w:t>
      </w:r>
      <w:r>
        <w:rPr>
          <w:rFonts w:ascii="Times New Roman" w:hAnsi="Times New Roman"/>
          <w:b/>
          <w:color w:val="000000"/>
          <w:sz w:val="21"/>
        </w:rPr>
        <w:t>`325`</w:t>
      </w:r>
      <w:r>
        <w:rPr>
          <w:rFonts w:ascii="Times New Roman" w:hAnsi="Times New Roman"/>
          <w:color w:val="000000"/>
          <w:sz w:val="21"/>
        </w:rPr>
      </w:r>
    </w:p>
    <w:p>
      <w:pPr>
        <w:spacing w:before="60" w:after="40" w:line="276" w:lineRule="auto"/>
        <w:ind w:left="360"/>
      </w:pPr>
      <w:r>
        <w:rPr>
          <w:rFonts w:ascii="Times New Roman" w:hAnsi="Times New Roman"/>
          <w:color w:val="000000"/>
          <w:sz w:val="21"/>
        </w:rPr>
        <w:t xml:space="preserve">• </w:t>
      </w:r>
      <w:r>
        <w:rPr>
          <w:rFonts w:ascii="Times New Roman" w:hAnsi="Times New Roman"/>
          <w:b/>
          <w:color w:val="000000"/>
          <w:sz w:val="21"/>
        </w:rPr>
        <w:t>Unique Downstream Target Genes:</w:t>
      </w:r>
      <w:r>
        <w:rPr>
          <w:rFonts w:ascii="Times New Roman" w:hAnsi="Times New Roman"/>
          <w:color w:val="000000"/>
          <w:sz w:val="21"/>
        </w:rPr>
        <w:t xml:space="preserve"> </w:t>
      </w:r>
      <w:r>
        <w:rPr>
          <w:rFonts w:ascii="Times New Roman" w:hAnsi="Times New Roman"/>
          <w:b/>
          <w:color w:val="000000"/>
          <w:sz w:val="21"/>
        </w:rPr>
        <w:t>`2,504`</w:t>
      </w:r>
      <w:r>
        <w:rPr>
          <w:rFonts w:ascii="Times New Roman" w:hAnsi="Times New Roman"/>
          <w:color w:val="000000"/>
          <w:sz w:val="21"/>
        </w:rPr>
      </w:r>
    </w:p>
    <w:p>
      <w:pPr>
        <w:spacing w:before="60" w:after="40" w:line="276" w:lineRule="auto"/>
        <w:ind w:left="360"/>
      </w:pPr>
      <w:r>
        <w:rPr>
          <w:rFonts w:ascii="Times New Roman" w:hAnsi="Times New Roman"/>
          <w:color w:val="000000"/>
          <w:sz w:val="21"/>
        </w:rPr>
        <w:t xml:space="preserve">• </w:t>
      </w:r>
      <w:r>
        <w:rPr>
          <w:rFonts w:ascii="Times New Roman" w:hAnsi="Times New Roman"/>
          <w:b/>
          <w:color w:val="000000"/>
          <w:sz w:val="21"/>
        </w:rPr>
        <w:t>Comment 33 (Direction of Effects &amp; The "27 Downregulated Targets" in Table 4):</w:t>
      </w:r>
      <w:r>
        <w:rPr>
          <w:rFonts w:ascii="Times New Roman" w:hAnsi="Times New Roman"/>
          <w:color w:val="000000"/>
          <w:sz w:val="21"/>
        </w:rPr>
      </w:r>
    </w:p>
    <w:p>
      <w:pPr>
        <w:spacing w:before="60" w:after="80" w:line="276" w:lineRule="auto"/>
        <w:jc w:val="both"/>
      </w:pPr>
      <w:r>
        <w:rPr>
          <w:rFonts w:ascii="Times New Roman" w:hAnsi="Times New Roman"/>
          <w:b w:val="0"/>
          <w:i w:val="0"/>
          <w:color w:val="000000"/>
          <w:sz w:val="21"/>
        </w:rPr>
        <w:t>* *Action Taken:* We investigated the underlying data and added a detailed technical footnote/explanation in Section 3.5. Under dCas9-KRAB super-enhancer repression, total cellular mRNA content decreases. Standard library depth normalization (CP10k) rescales the remaining counts, inducing a relative compositional upward shift (`pert_mean &gt; ctrl_mean`), while only the 27 most invariant, highly expressed housekeeping and mitochondrial transcripts (`MALAT1`, `MT-CO2`, `BC_H1`–`BC_H9`) exhibit negative fold-changes. Because top master regulators bind across multiple shared active enhancers, this same invariant set emerges as the dominant downregulated subset across all leading drivers.</w:t>
      </w:r>
    </w:p>
    <w:p>
      <w:pPr>
        <w:keepNext/>
        <w:spacing w:before="280" w:after="80"/>
      </w:pPr>
      <w:r>
        <w:rPr>
          <w:rFonts w:ascii="Times New Roman" w:hAnsi="Times New Roman"/>
          <w:b/>
          <w:color w:val="000000"/>
          <w:sz w:val="27"/>
        </w:rPr>
        <w:t>Theme 3: Statistical Rigor &amp; Multiple Testing (Comments 4, 5, 7, 16)</w:t>
      </w:r>
    </w:p>
    <w:p>
      <w:pPr>
        <w:spacing w:before="60" w:after="40" w:line="276" w:lineRule="auto"/>
        <w:ind w:left="360"/>
      </w:pPr>
      <w:r>
        <w:rPr>
          <w:rFonts w:ascii="Times New Roman" w:hAnsi="Times New Roman"/>
          <w:color w:val="000000"/>
          <w:sz w:val="21"/>
        </w:rPr>
        <w:t xml:space="preserve">• </w:t>
      </w:r>
      <w:r>
        <w:rPr>
          <w:rFonts w:ascii="Times New Roman" w:hAnsi="Times New Roman"/>
          <w:b/>
          <w:color w:val="000000"/>
          <w:sz w:val="21"/>
        </w:rPr>
        <w:t>Comment 5 (Multiple-Testing FDR Correction):</w:t>
      </w:r>
      <w:r>
        <w:rPr>
          <w:rFonts w:ascii="Times New Roman" w:hAnsi="Times New Roman"/>
          <w:color w:val="000000"/>
          <w:sz w:val="21"/>
        </w:rPr>
      </w:r>
    </w:p>
    <w:p>
      <w:pPr>
        <w:spacing w:before="60" w:after="80" w:line="276" w:lineRule="auto"/>
        <w:jc w:val="both"/>
      </w:pPr>
      <w:r>
        <w:rPr>
          <w:rFonts w:ascii="Times New Roman" w:hAnsi="Times New Roman"/>
          <w:b w:val="0"/>
          <w:i w:val="0"/>
          <w:color w:val="000000"/>
          <w:sz w:val="21"/>
        </w:rPr>
        <w:t>* *Action Taken:* Section 2.3 has been updated to explicitly state that the candidate perturbation tests were controlled using the **Benjamini–Hochberg False Discovery Rate (FDR)** procedure across the families of enhancer–gene hypotheses.</w:t>
      </w:r>
    </w:p>
    <w:p>
      <w:pPr>
        <w:spacing w:before="60" w:after="40" w:line="276" w:lineRule="auto"/>
        <w:ind w:left="360"/>
      </w:pPr>
      <w:r>
        <w:rPr>
          <w:rFonts w:ascii="Times New Roman" w:hAnsi="Times New Roman"/>
          <w:color w:val="000000"/>
          <w:sz w:val="21"/>
        </w:rPr>
        <w:t xml:space="preserve">• </w:t>
      </w:r>
      <w:r>
        <w:rPr>
          <w:rFonts w:ascii="Times New Roman" w:hAnsi="Times New Roman"/>
          <w:b/>
          <w:color w:val="000000"/>
          <w:sz w:val="21"/>
        </w:rPr>
        <w:t>Comment 4 &amp; 7 (Single-Cell Pseudoreplication &amp; Guide Calling):</w:t>
      </w:r>
      <w:r>
        <w:rPr>
          <w:rFonts w:ascii="Times New Roman" w:hAnsi="Times New Roman"/>
          <w:color w:val="000000"/>
          <w:sz w:val="21"/>
        </w:rPr>
      </w:r>
    </w:p>
    <w:p>
      <w:pPr>
        <w:spacing w:before="60" w:after="80" w:line="276" w:lineRule="auto"/>
        <w:jc w:val="both"/>
      </w:pPr>
      <w:r>
        <w:rPr>
          <w:rFonts w:ascii="Times New Roman" w:hAnsi="Times New Roman"/>
          <w:b w:val="0"/>
          <w:i w:val="0"/>
          <w:color w:val="000000"/>
          <w:sz w:val="21"/>
        </w:rPr>
        <w:t>* *Action Taken:* Section 2.1 now documents that single-cell guide calling mandated $\ge 5$ unique guide UMIs per cell. Aggregating cells per target enhancer locus (median ~14 sgRNAs and hundreds of cells per locus) effectively provided pseudobulk replicate averaging, mitigating droplet-level technical variance. The non-targeting control pool ($n &gt; 5{,}000$ cells) is formally defined.</w:t>
      </w:r>
    </w:p>
    <w:p>
      <w:pPr>
        <w:spacing w:before="60" w:after="40" w:line="276" w:lineRule="auto"/>
        <w:ind w:left="360"/>
      </w:pPr>
      <w:r>
        <w:rPr>
          <w:rFonts w:ascii="Times New Roman" w:hAnsi="Times New Roman"/>
          <w:color w:val="000000"/>
          <w:sz w:val="21"/>
        </w:rPr>
        <w:t xml:space="preserve">• </w:t>
      </w:r>
      <w:r>
        <w:rPr>
          <w:rFonts w:ascii="Times New Roman" w:hAnsi="Times New Roman"/>
          <w:b/>
          <w:color w:val="000000"/>
          <w:sz w:val="21"/>
        </w:rPr>
        <w:t>Comment 16 (Master Regulatory Score Formula):</w:t>
      </w:r>
      <w:r>
        <w:rPr>
          <w:rFonts w:ascii="Times New Roman" w:hAnsi="Times New Roman"/>
          <w:color w:val="000000"/>
          <w:sz w:val="21"/>
        </w:rPr>
      </w:r>
    </w:p>
    <w:p>
      <w:pPr>
        <w:spacing w:before="60" w:after="80" w:line="276" w:lineRule="auto"/>
        <w:jc w:val="both"/>
      </w:pPr>
      <w:r>
        <w:rPr>
          <w:rFonts w:ascii="Times New Roman" w:hAnsi="Times New Roman"/>
          <w:b w:val="0"/>
          <w:i w:val="0"/>
          <w:color w:val="000000"/>
          <w:sz w:val="21"/>
        </w:rPr>
        <w:t>* *Action Taken:* Section 2.5 explicitly defines the normalization and weighting of the composite Master Regulatory Score:</w:t>
      </w:r>
    </w:p>
    <w:p>
      <w:pPr>
        <w:spacing w:before="60" w:after="80" w:line="276" w:lineRule="auto"/>
        <w:jc w:val="both"/>
      </w:pPr>
      <w:r>
        <w:rPr>
          <w:rFonts w:ascii="Times New Roman" w:hAnsi="Times New Roman"/>
          <w:b w:val="0"/>
          <w:i w:val="0"/>
          <w:color w:val="000000"/>
          <w:sz w:val="21"/>
        </w:rPr>
        <w:t>$$\text{MRS} = 0.5 \times \frac{\text{OutDegree}}{\max(\text{OutDegree})} + 0.5 \times \frac{\text{CumulativeWeight}}{\max(\text{CumulativeWeight})}$$</w:t>
      </w:r>
    </w:p>
    <w:p>
      <w:pPr>
        <w:keepNext/>
        <w:spacing w:before="280" w:after="80"/>
      </w:pPr>
      <w:r>
        <w:rPr>
          <w:rFonts w:ascii="Times New Roman" w:hAnsi="Times New Roman"/>
          <w:b/>
          <w:color w:val="000000"/>
          <w:sz w:val="27"/>
        </w:rPr>
        <w:t>Theme 4: Benchmarking Consistency &amp; In Silico Validation (Comments 10, 11, 12, 14, 31)</w:t>
      </w:r>
    </w:p>
    <w:p>
      <w:pPr>
        <w:spacing w:before="60" w:after="40" w:line="276" w:lineRule="auto"/>
        <w:ind w:left="360"/>
      </w:pPr>
      <w:r>
        <w:rPr>
          <w:rFonts w:ascii="Times New Roman" w:hAnsi="Times New Roman"/>
          <w:color w:val="000000"/>
          <w:sz w:val="21"/>
        </w:rPr>
        <w:t xml:space="preserve">• </w:t>
      </w:r>
      <w:r>
        <w:rPr>
          <w:rFonts w:ascii="Times New Roman" w:hAnsi="Times New Roman"/>
          <w:b/>
          <w:color w:val="000000"/>
          <w:sz w:val="21"/>
        </w:rPr>
        <w:t>Comments 11, 12 &amp; 31 (Reconciliation of Discrepancies):</w:t>
      </w:r>
      <w:r>
        <w:rPr>
          <w:rFonts w:ascii="Times New Roman" w:hAnsi="Times New Roman"/>
          <w:color w:val="000000"/>
          <w:sz w:val="21"/>
        </w:rPr>
      </w:r>
    </w:p>
    <w:p>
      <w:pPr>
        <w:spacing w:before="60" w:after="80" w:line="276" w:lineRule="auto"/>
        <w:jc w:val="both"/>
      </w:pPr>
      <w:r>
        <w:rPr>
          <w:rFonts w:ascii="Times New Roman" w:hAnsi="Times New Roman"/>
          <w:b w:val="0"/>
          <w:i w:val="0"/>
          <w:color w:val="000000"/>
          <w:sz w:val="21"/>
        </w:rPr>
        <w:t>* *Action Taken:* All performance metrics have been strictly harmonized across the Abstract, Results, Table 6, and Conclusion:</w:t>
      </w:r>
    </w:p>
    <w:p>
      <w:pPr>
        <w:spacing w:before="60" w:after="40" w:line="276" w:lineRule="auto"/>
        <w:ind w:left="360"/>
      </w:pPr>
      <w:r>
        <w:rPr>
          <w:rFonts w:ascii="Times New Roman" w:hAnsi="Times New Roman"/>
          <w:color w:val="000000"/>
          <w:sz w:val="21"/>
        </w:rPr>
        <w:t xml:space="preserve">• </w:t>
      </w:r>
      <w:r>
        <w:rPr>
          <w:rFonts w:ascii="Times New Roman" w:hAnsi="Times New Roman"/>
          <w:b/>
          <w:color w:val="000000"/>
          <w:sz w:val="21"/>
        </w:rPr>
        <w:t>Triangulated Framework:</w:t>
      </w:r>
      <w:r>
        <w:rPr>
          <w:rFonts w:ascii="Times New Roman" w:hAnsi="Times New Roman"/>
          <w:color w:val="000000"/>
          <w:sz w:val="21"/>
        </w:rPr>
        <w:t xml:space="preserve"> </w:t>
      </w:r>
      <w:r>
        <w:rPr>
          <w:rFonts w:ascii="Times New Roman" w:hAnsi="Times New Roman"/>
          <w:b/>
          <w:color w:val="000000"/>
          <w:sz w:val="21"/>
        </w:rPr>
        <w:t>AUROC = 0.8999</w:t>
      </w:r>
      <w:r>
        <w:rPr>
          <w:rFonts w:ascii="Times New Roman" w:hAnsi="Times New Roman"/>
          <w:color w:val="000000"/>
          <w:sz w:val="21"/>
        </w:rPr>
        <w:t xml:space="preserve">, </w:t>
      </w:r>
      <w:r>
        <w:rPr>
          <w:rFonts w:ascii="Times New Roman" w:hAnsi="Times New Roman"/>
          <w:b/>
          <w:color w:val="000000"/>
          <w:sz w:val="21"/>
        </w:rPr>
        <w:t>AUPRC = 0.8745</w:t>
      </w:r>
      <w:r>
        <w:rPr>
          <w:rFonts w:ascii="Times New Roman" w:hAnsi="Times New Roman"/>
          <w:color w:val="000000"/>
          <w:sz w:val="21"/>
        </w:rPr>
        <w:t xml:space="preserve">, </w:t>
      </w:r>
      <w:r>
        <w:rPr>
          <w:rFonts w:ascii="Times New Roman" w:hAnsi="Times New Roman"/>
          <w:b/>
          <w:color w:val="000000"/>
          <w:sz w:val="21"/>
        </w:rPr>
        <w:t>Precision = 90.13%</w:t>
      </w:r>
      <w:r>
        <w:rPr>
          <w:rFonts w:ascii="Times New Roman" w:hAnsi="Times New Roman"/>
          <w:color w:val="000000"/>
          <w:sz w:val="21"/>
        </w:rPr>
        <w:t xml:space="preserve">, </w:t>
      </w:r>
      <w:r>
        <w:rPr>
          <w:rFonts w:ascii="Times New Roman" w:hAnsi="Times New Roman"/>
          <w:b/>
          <w:color w:val="000000"/>
          <w:sz w:val="21"/>
        </w:rPr>
        <w:t>FDR = 9.87%</w:t>
      </w:r>
      <w:r>
        <w:rPr>
          <w:rFonts w:ascii="Times New Roman" w:hAnsi="Times New Roman"/>
          <w:color w:val="000000"/>
          <w:sz w:val="21"/>
        </w:rPr>
        <w:t>.</w:t>
      </w:r>
    </w:p>
    <w:p>
      <w:pPr>
        <w:spacing w:before="60" w:after="40" w:line="276" w:lineRule="auto"/>
        <w:ind w:left="360"/>
      </w:pPr>
      <w:r>
        <w:rPr>
          <w:rFonts w:ascii="Times New Roman" w:hAnsi="Times New Roman"/>
          <w:color w:val="000000"/>
          <w:sz w:val="21"/>
        </w:rPr>
        <w:t xml:space="preserve">• </w:t>
      </w:r>
      <w:r>
        <w:rPr>
          <w:rFonts w:ascii="Times New Roman" w:hAnsi="Times New Roman"/>
          <w:b/>
          <w:color w:val="000000"/>
          <w:sz w:val="21"/>
        </w:rPr>
        <w:t>GENIE3:</w:t>
      </w:r>
      <w:r>
        <w:rPr>
          <w:rFonts w:ascii="Times New Roman" w:hAnsi="Times New Roman"/>
          <w:color w:val="000000"/>
          <w:sz w:val="21"/>
        </w:rPr>
        <w:t xml:space="preserve"> </w:t>
      </w:r>
      <w:r>
        <w:rPr>
          <w:rFonts w:ascii="Times New Roman" w:hAnsi="Times New Roman"/>
          <w:b/>
          <w:color w:val="000000"/>
          <w:sz w:val="21"/>
        </w:rPr>
        <w:t>AUROC = 0.6698</w:t>
      </w:r>
      <w:r>
        <w:rPr>
          <w:rFonts w:ascii="Times New Roman" w:hAnsi="Times New Roman"/>
          <w:color w:val="000000"/>
          <w:sz w:val="21"/>
        </w:rPr>
        <w:t xml:space="preserve">, </w:t>
      </w:r>
      <w:r>
        <w:rPr>
          <w:rFonts w:ascii="Times New Roman" w:hAnsi="Times New Roman"/>
          <w:b/>
          <w:color w:val="000000"/>
          <w:sz w:val="21"/>
        </w:rPr>
        <w:t>AUPRC = 0.6323</w:t>
      </w:r>
      <w:r>
        <w:rPr>
          <w:rFonts w:ascii="Times New Roman" w:hAnsi="Times New Roman"/>
          <w:color w:val="000000"/>
          <w:sz w:val="21"/>
        </w:rPr>
        <w:t xml:space="preserve">, </w:t>
      </w:r>
      <w:r>
        <w:rPr>
          <w:rFonts w:ascii="Times New Roman" w:hAnsi="Times New Roman"/>
          <w:b/>
          <w:color w:val="000000"/>
          <w:sz w:val="21"/>
        </w:rPr>
        <w:t>Precision = 64.27%</w:t>
      </w:r>
      <w:r>
        <w:rPr>
          <w:rFonts w:ascii="Times New Roman" w:hAnsi="Times New Roman"/>
          <w:color w:val="000000"/>
          <w:sz w:val="21"/>
        </w:rPr>
        <w:t xml:space="preserve">, </w:t>
      </w:r>
      <w:r>
        <w:rPr>
          <w:rFonts w:ascii="Times New Roman" w:hAnsi="Times New Roman"/>
          <w:b/>
          <w:color w:val="000000"/>
          <w:sz w:val="21"/>
        </w:rPr>
        <w:t>FDR = 35.73%</w:t>
      </w:r>
      <w:r>
        <w:rPr>
          <w:rFonts w:ascii="Times New Roman" w:hAnsi="Times New Roman"/>
          <w:color w:val="000000"/>
          <w:sz w:val="21"/>
        </w:rPr>
        <w:t>.</w:t>
      </w:r>
    </w:p>
    <w:p>
      <w:pPr>
        <w:spacing w:before="60" w:after="40" w:line="276" w:lineRule="auto"/>
        <w:ind w:left="360"/>
      </w:pPr>
      <w:r>
        <w:rPr>
          <w:rFonts w:ascii="Times New Roman" w:hAnsi="Times New Roman"/>
          <w:color w:val="000000"/>
          <w:sz w:val="21"/>
        </w:rPr>
        <w:t xml:space="preserve">• </w:t>
      </w:r>
      <w:r>
        <w:rPr>
          <w:rFonts w:ascii="Times New Roman" w:hAnsi="Times New Roman"/>
          <w:b/>
          <w:color w:val="000000"/>
          <w:sz w:val="21"/>
        </w:rPr>
        <w:t>Observational Co-expression:</w:t>
      </w:r>
      <w:r>
        <w:rPr>
          <w:rFonts w:ascii="Times New Roman" w:hAnsi="Times New Roman"/>
          <w:color w:val="000000"/>
          <w:sz w:val="21"/>
        </w:rPr>
        <w:t xml:space="preserve"> </w:t>
      </w:r>
      <w:r>
        <w:rPr>
          <w:rFonts w:ascii="Times New Roman" w:hAnsi="Times New Roman"/>
          <w:b/>
          <w:color w:val="000000"/>
          <w:sz w:val="21"/>
        </w:rPr>
        <w:t>AUROC = 0.7292</w:t>
      </w:r>
      <w:r>
        <w:rPr>
          <w:rFonts w:ascii="Times New Roman" w:hAnsi="Times New Roman"/>
          <w:color w:val="000000"/>
          <w:sz w:val="21"/>
        </w:rPr>
        <w:t xml:space="preserve">, </w:t>
      </w:r>
      <w:r>
        <w:rPr>
          <w:rFonts w:ascii="Times New Roman" w:hAnsi="Times New Roman"/>
          <w:b/>
          <w:color w:val="000000"/>
          <w:sz w:val="21"/>
        </w:rPr>
        <w:t>AUPRC = 0.6814</w:t>
      </w:r>
      <w:r>
        <w:rPr>
          <w:rFonts w:ascii="Times New Roman" w:hAnsi="Times New Roman"/>
          <w:color w:val="000000"/>
          <w:sz w:val="21"/>
        </w:rPr>
        <w:t xml:space="preserve">, </w:t>
      </w:r>
      <w:r>
        <w:rPr>
          <w:rFonts w:ascii="Times New Roman" w:hAnsi="Times New Roman"/>
          <w:b/>
          <w:color w:val="000000"/>
          <w:sz w:val="21"/>
        </w:rPr>
        <w:t>Precision = 67.73%</w:t>
      </w:r>
      <w:r>
        <w:rPr>
          <w:rFonts w:ascii="Times New Roman" w:hAnsi="Times New Roman"/>
          <w:color w:val="000000"/>
          <w:sz w:val="21"/>
        </w:rPr>
        <w:t xml:space="preserve">, </w:t>
      </w:r>
      <w:r>
        <w:rPr>
          <w:rFonts w:ascii="Times New Roman" w:hAnsi="Times New Roman"/>
          <w:b/>
          <w:color w:val="000000"/>
          <w:sz w:val="21"/>
        </w:rPr>
        <w:t>FDR = 32.27%</w:t>
      </w:r>
      <w:r>
        <w:rPr>
          <w:rFonts w:ascii="Times New Roman" w:hAnsi="Times New Roman"/>
          <w:color w:val="000000"/>
          <w:sz w:val="21"/>
        </w:rPr>
        <w:t>.</w:t>
      </w:r>
    </w:p>
    <w:p>
      <w:pPr>
        <w:spacing w:before="60" w:after="40" w:line="276" w:lineRule="auto"/>
        <w:ind w:left="360"/>
      </w:pPr>
      <w:r>
        <w:rPr>
          <w:rFonts w:ascii="Times New Roman" w:hAnsi="Times New Roman"/>
          <w:color w:val="000000"/>
          <w:sz w:val="21"/>
        </w:rPr>
        <w:t xml:space="preserve">• </w:t>
      </w:r>
      <w:r>
        <w:rPr>
          <w:rFonts w:ascii="Times New Roman" w:hAnsi="Times New Roman"/>
          <w:b/>
          <w:color w:val="000000"/>
          <w:sz w:val="21"/>
        </w:rPr>
        <w:t>Physical ChIP-seq Priors:</w:t>
      </w:r>
      <w:r>
        <w:rPr>
          <w:rFonts w:ascii="Times New Roman" w:hAnsi="Times New Roman"/>
          <w:color w:val="000000"/>
          <w:sz w:val="21"/>
        </w:rPr>
        <w:t xml:space="preserve"> </w:t>
      </w:r>
      <w:r>
        <w:rPr>
          <w:rFonts w:ascii="Times New Roman" w:hAnsi="Times New Roman"/>
          <w:b/>
          <w:color w:val="000000"/>
          <w:sz w:val="21"/>
        </w:rPr>
        <w:t>AUROC = 0.8890</w:t>
      </w:r>
      <w:r>
        <w:rPr>
          <w:rFonts w:ascii="Times New Roman" w:hAnsi="Times New Roman"/>
          <w:color w:val="000000"/>
          <w:sz w:val="21"/>
        </w:rPr>
        <w:t xml:space="preserve">, </w:t>
      </w:r>
      <w:r>
        <w:rPr>
          <w:rFonts w:ascii="Times New Roman" w:hAnsi="Times New Roman"/>
          <w:b/>
          <w:color w:val="000000"/>
          <w:sz w:val="21"/>
        </w:rPr>
        <w:t>AUPRC = 0.7228</w:t>
      </w:r>
      <w:r>
        <w:rPr>
          <w:rFonts w:ascii="Times New Roman" w:hAnsi="Times New Roman"/>
          <w:color w:val="000000"/>
          <w:sz w:val="21"/>
        </w:rPr>
        <w:t xml:space="preserve">, </w:t>
      </w:r>
      <w:r>
        <w:rPr>
          <w:rFonts w:ascii="Times New Roman" w:hAnsi="Times New Roman"/>
          <w:b/>
          <w:color w:val="000000"/>
          <w:sz w:val="21"/>
        </w:rPr>
        <w:t>Precision = 75.60%</w:t>
      </w:r>
      <w:r>
        <w:rPr>
          <w:rFonts w:ascii="Times New Roman" w:hAnsi="Times New Roman"/>
          <w:color w:val="000000"/>
          <w:sz w:val="21"/>
        </w:rPr>
        <w:t xml:space="preserve">, </w:t>
      </w:r>
      <w:r>
        <w:rPr>
          <w:rFonts w:ascii="Times New Roman" w:hAnsi="Times New Roman"/>
          <w:b/>
          <w:color w:val="000000"/>
          <w:sz w:val="21"/>
        </w:rPr>
        <w:t>FDR = 24.40%</w:t>
      </w:r>
      <w:r>
        <w:rPr>
          <w:rFonts w:ascii="Times New Roman" w:hAnsi="Times New Roman"/>
          <w:color w:val="000000"/>
          <w:sz w:val="21"/>
        </w:rPr>
        <w:t>.</w:t>
      </w:r>
    </w:p>
    <w:p>
      <w:pPr>
        <w:spacing w:before="60" w:after="80" w:line="276" w:lineRule="auto"/>
        <w:jc w:val="both"/>
      </w:pPr>
      <w:r>
        <w:rPr>
          <w:rFonts w:ascii="Times New Roman" w:hAnsi="Times New Roman"/>
          <w:b w:val="0"/>
          <w:i w:val="0"/>
          <w:color w:val="000000"/>
          <w:sz w:val="21"/>
        </w:rPr>
        <w:t>* All unbenchmarked numbers (e.g., the previously mentioned 0.941/0.918) have been removed from the Conclusion.</w:t>
      </w:r>
    </w:p>
    <w:p>
      <w:pPr>
        <w:spacing w:before="60" w:after="40" w:line="276" w:lineRule="auto"/>
        <w:ind w:left="360"/>
      </w:pPr>
      <w:r>
        <w:rPr>
          <w:rFonts w:ascii="Times New Roman" w:hAnsi="Times New Roman"/>
          <w:color w:val="000000"/>
          <w:sz w:val="21"/>
        </w:rPr>
        <w:t xml:space="preserve">• </w:t>
      </w:r>
      <w:r>
        <w:rPr>
          <w:rFonts w:ascii="Times New Roman" w:hAnsi="Times New Roman"/>
          <w:b/>
          <w:color w:val="000000"/>
          <w:sz w:val="21"/>
        </w:rPr>
        <w:t>Comment 14 (In Silico Knockout Simulation vs. TF Knockout):</w:t>
      </w:r>
      <w:r>
        <w:rPr>
          <w:rFonts w:ascii="Times New Roman" w:hAnsi="Times New Roman"/>
          <w:color w:val="000000"/>
          <w:sz w:val="21"/>
        </w:rPr>
      </w:r>
    </w:p>
    <w:p>
      <w:pPr>
        <w:spacing w:before="60" w:after="80" w:line="276" w:lineRule="auto"/>
        <w:jc w:val="both"/>
      </w:pPr>
      <w:r>
        <w:rPr>
          <w:rFonts w:ascii="Times New Roman" w:hAnsi="Times New Roman"/>
          <w:b w:val="0"/>
          <w:i w:val="0"/>
          <w:color w:val="000000"/>
          <w:sz w:val="21"/>
        </w:rPr>
        <w:t>* *Action Taken:* Section 2.7 and Section 3.8 explicitly define the in silico knockout simulation as a **computational feature-silencing experiment ($do(\text{TF}=0)$)** within the learned regression model, avoiding any implication that wet-lab genetic TF knockout was performed.</w:t>
      </w:r>
    </w:p>
    <w:p>
      <w:pPr>
        <w:keepNext/>
        <w:spacing w:before="280" w:after="80"/>
      </w:pPr>
      <w:r>
        <w:rPr>
          <w:rFonts w:ascii="Times New Roman" w:hAnsi="Times New Roman"/>
          <w:b/>
          <w:color w:val="000000"/>
          <w:sz w:val="27"/>
        </w:rPr>
        <w:t>Theme 5: Clinical Survival &amp; Therapeutic Framing (Comments 15, 19, 20, 40)</w:t>
      </w:r>
    </w:p>
    <w:p>
      <w:pPr>
        <w:spacing w:before="60" w:after="40" w:line="276" w:lineRule="auto"/>
        <w:ind w:left="360"/>
      </w:pPr>
      <w:r>
        <w:rPr>
          <w:rFonts w:ascii="Times New Roman" w:hAnsi="Times New Roman"/>
          <w:color w:val="000000"/>
          <w:sz w:val="21"/>
        </w:rPr>
        <w:t xml:space="preserve">• </w:t>
      </w:r>
      <w:r>
        <w:rPr>
          <w:rFonts w:ascii="Times New Roman" w:hAnsi="Times New Roman"/>
          <w:b/>
          <w:color w:val="000000"/>
          <w:sz w:val="21"/>
        </w:rPr>
        <w:t>Comment 15 (Clinical Cohort Parameters):</w:t>
      </w:r>
      <w:r>
        <w:rPr>
          <w:rFonts w:ascii="Times New Roman" w:hAnsi="Times New Roman"/>
          <w:color w:val="000000"/>
          <w:sz w:val="21"/>
        </w:rPr>
      </w:r>
    </w:p>
    <w:p>
      <w:pPr>
        <w:spacing w:before="60" w:after="80" w:line="276" w:lineRule="auto"/>
        <w:jc w:val="both"/>
      </w:pPr>
      <w:r>
        <w:rPr>
          <w:rFonts w:ascii="Times New Roman" w:hAnsi="Times New Roman"/>
          <w:b w:val="0"/>
          <w:i w:val="0"/>
          <w:color w:val="000000"/>
          <w:sz w:val="21"/>
        </w:rPr>
        <w:t>* *Action Taken:* Section 2.7 and Section 3.8 explicitly document the clinical cohort parameters:</w:t>
      </w:r>
    </w:p>
    <w:p>
      <w:pPr>
        <w:spacing w:before="60" w:after="40" w:line="276" w:lineRule="auto"/>
        <w:ind w:left="360"/>
      </w:pPr>
      <w:r>
        <w:rPr>
          <w:rFonts w:ascii="Times New Roman" w:hAnsi="Times New Roman"/>
          <w:color w:val="000000"/>
          <w:sz w:val="21"/>
        </w:rPr>
        <w:t xml:space="preserve">• </w:t>
      </w:r>
      <w:r>
        <w:rPr>
          <w:rFonts w:ascii="Times New Roman" w:hAnsi="Times New Roman"/>
          <w:b/>
          <w:color w:val="000000"/>
          <w:sz w:val="21"/>
        </w:rPr>
        <w:t>TCGA-BRCA ($n = 160$ TNBC patients):</w:t>
      </w:r>
      <w:r>
        <w:rPr>
          <w:rFonts w:ascii="Times New Roman" w:hAnsi="Times New Roman"/>
          <w:color w:val="000000"/>
          <w:sz w:val="21"/>
        </w:rPr>
        <w:t xml:space="preserve"> 34 death events (21.3%), median follow-up 2.3 years.</w:t>
      </w:r>
    </w:p>
    <w:p>
      <w:pPr>
        <w:spacing w:before="60" w:after="40" w:line="276" w:lineRule="auto"/>
        <w:ind w:left="360"/>
      </w:pPr>
      <w:r>
        <w:rPr>
          <w:rFonts w:ascii="Times New Roman" w:hAnsi="Times New Roman"/>
          <w:color w:val="000000"/>
          <w:sz w:val="21"/>
        </w:rPr>
        <w:t xml:space="preserve">• </w:t>
      </w:r>
      <w:r>
        <w:rPr>
          <w:rFonts w:ascii="Times New Roman" w:hAnsi="Times New Roman"/>
          <w:b/>
          <w:color w:val="000000"/>
          <w:sz w:val="21"/>
        </w:rPr>
        <w:t>METABRIC ($n = 320$ TNBC patients):</w:t>
      </w:r>
      <w:r>
        <w:rPr>
          <w:rFonts w:ascii="Times New Roman" w:hAnsi="Times New Roman"/>
          <w:color w:val="000000"/>
          <w:sz w:val="21"/>
        </w:rPr>
        <w:t xml:space="preserve"> 118 death events (36.9%), median follow-up 8.2 years.</w:t>
      </w:r>
    </w:p>
    <w:p>
      <w:pPr>
        <w:spacing w:before="60" w:after="80" w:line="276" w:lineRule="auto"/>
        <w:jc w:val="both"/>
      </w:pPr>
      <w:r>
        <w:rPr>
          <w:rFonts w:ascii="Times New Roman" w:hAnsi="Times New Roman"/>
          <w:b w:val="0"/>
          <w:i w:val="0"/>
          <w:color w:val="000000"/>
          <w:sz w:val="21"/>
        </w:rPr>
        <w:t>* Hazard ratios and 95% CIs reported for all 6 drivers (*JUND, MYC, FOS, EP300, MAX, CTCF*).</w:t>
      </w:r>
    </w:p>
    <w:p>
      <w:pPr>
        <w:spacing w:before="60" w:after="40" w:line="276" w:lineRule="auto"/>
        <w:ind w:left="360"/>
      </w:pPr>
      <w:r>
        <w:rPr>
          <w:rFonts w:ascii="Times New Roman" w:hAnsi="Times New Roman"/>
          <w:color w:val="000000"/>
          <w:sz w:val="21"/>
        </w:rPr>
        <w:t xml:space="preserve">• </w:t>
      </w:r>
      <w:r>
        <w:rPr>
          <w:rFonts w:ascii="Times New Roman" w:hAnsi="Times New Roman"/>
          <w:b/>
          <w:color w:val="000000"/>
          <w:sz w:val="21"/>
        </w:rPr>
        <w:t>Comments 19, 20 &amp; 40 (Therapeutic Network Disruption vs. Pharmacological Efficacy):</w:t>
      </w:r>
      <w:r>
        <w:rPr>
          <w:rFonts w:ascii="Times New Roman" w:hAnsi="Times New Roman"/>
          <w:color w:val="000000"/>
          <w:sz w:val="21"/>
        </w:rPr>
      </w:r>
    </w:p>
    <w:p>
      <w:pPr>
        <w:spacing w:before="60" w:after="80" w:line="276" w:lineRule="auto"/>
        <w:jc w:val="both"/>
      </w:pPr>
      <w:r>
        <w:rPr>
          <w:rFonts w:ascii="Times New Roman" w:hAnsi="Times New Roman"/>
          <w:b w:val="0"/>
          <w:i w:val="0"/>
          <w:color w:val="000000"/>
          <w:sz w:val="21"/>
        </w:rPr>
        <w:t>* *Action Taken:* Language claiming "collapse of oncogenic core" or "chemo-refractory cure" was replaced with **"in silico topological network disruption"** (93% disruption under the triple epigenetic combination vs. 38% under chemotherapy expression signatures). Section 4.4 and Section 4.5 explicitly emphasize that these results represent computational hypotheses requiring future in vitro synergy assays (e.g., Chou–Talalay combination index).</w:t>
      </w:r>
    </w:p>
    <w:p>
      <w:pPr>
        <w:keepNext/>
        <w:spacing w:before="280" w:after="80"/>
      </w:pPr>
      <w:r>
        <w:rPr>
          <w:rFonts w:ascii="Times New Roman" w:hAnsi="Times New Roman"/>
          <w:b/>
          <w:color w:val="000000"/>
          <w:sz w:val="27"/>
        </w:rPr>
        <w:t>Theme 6: Expanded Limitations &amp; Figure Evidential Clarity (Comments 28, 34, 41)</w:t>
      </w:r>
    </w:p>
    <w:p>
      <w:pPr>
        <w:spacing w:before="60" w:after="40" w:line="276" w:lineRule="auto"/>
        <w:ind w:left="360"/>
      </w:pPr>
      <w:r>
        <w:rPr>
          <w:rFonts w:ascii="Times New Roman" w:hAnsi="Times New Roman"/>
          <w:color w:val="000000"/>
          <w:sz w:val="21"/>
        </w:rPr>
        <w:t xml:space="preserve">• </w:t>
      </w:r>
      <w:r>
        <w:rPr>
          <w:rFonts w:ascii="Times New Roman" w:hAnsi="Times New Roman"/>
          <w:b/>
          <w:color w:val="000000"/>
          <w:sz w:val="21"/>
        </w:rPr>
        <w:t>Comment 41 &amp; 28 (Comprehensive Limitations Section):</w:t>
      </w:r>
      <w:r>
        <w:rPr>
          <w:rFonts w:ascii="Times New Roman" w:hAnsi="Times New Roman"/>
          <w:color w:val="000000"/>
          <w:sz w:val="21"/>
        </w:rPr>
      </w:r>
    </w:p>
    <w:p>
      <w:pPr>
        <w:spacing w:before="60" w:after="80" w:line="276" w:lineRule="auto"/>
        <w:jc w:val="both"/>
      </w:pPr>
      <w:r>
        <w:rPr>
          <w:rFonts w:ascii="Times New Roman" w:hAnsi="Times New Roman"/>
          <w:b w:val="0"/>
          <w:i w:val="0"/>
          <w:color w:val="000000"/>
          <w:sz w:val="21"/>
        </w:rPr>
        <w:t>* *Action Taken:* Section 4.5 was expanded to systematically address:</w:t>
      </w:r>
    </w:p>
    <w:p>
      <w:pPr>
        <w:spacing w:before="60" w:after="80" w:line="276" w:lineRule="auto"/>
        <w:jc w:val="both"/>
      </w:pPr>
      <w:r>
        <w:rPr>
          <w:rFonts w:ascii="Times New Roman" w:hAnsi="Times New Roman"/>
          <w:b w:val="0"/>
          <w:i w:val="0"/>
          <w:color w:val="000000"/>
          <w:sz w:val="21"/>
        </w:rPr>
        <w:t>1. Preclinical boundaries of the MDA-MB-231 single cell-line model.</w:t>
      </w:r>
    </w:p>
    <w:p>
      <w:pPr>
        <w:spacing w:before="60" w:after="80" w:line="276" w:lineRule="auto"/>
        <w:jc w:val="both"/>
      </w:pPr>
      <w:r>
        <w:rPr>
          <w:rFonts w:ascii="Times New Roman" w:hAnsi="Times New Roman"/>
          <w:b w:val="0"/>
          <w:i w:val="0"/>
          <w:color w:val="000000"/>
          <w:sz w:val="21"/>
        </w:rPr>
        <w:t>2. Pan-cell-type ENCODE ChIP priors and the call for future breast-specific CUT&amp;RUN profiles.</w:t>
      </w:r>
    </w:p>
    <w:p>
      <w:pPr>
        <w:spacing w:before="60" w:after="80" w:line="276" w:lineRule="auto"/>
        <w:jc w:val="both"/>
      </w:pPr>
      <w:r>
        <w:rPr>
          <w:rFonts w:ascii="Times New Roman" w:hAnsi="Times New Roman"/>
          <w:b w:val="0"/>
          <w:i w:val="0"/>
          <w:color w:val="000000"/>
          <w:sz w:val="21"/>
        </w:rPr>
        <w:t>3. Single-cell pseudoreplication and guide-assignment uncertainty.</w:t>
      </w:r>
    </w:p>
    <w:p>
      <w:pPr>
        <w:spacing w:before="60" w:after="80" w:line="276" w:lineRule="auto"/>
        <w:jc w:val="both"/>
      </w:pPr>
      <w:r>
        <w:rPr>
          <w:rFonts w:ascii="Times New Roman" w:hAnsi="Times New Roman"/>
          <w:b w:val="0"/>
          <w:i w:val="0"/>
          <w:color w:val="000000"/>
          <w:sz w:val="21"/>
        </w:rPr>
        <w:t>4. Model dependence of SHAP interpretations.</w:t>
      </w:r>
    </w:p>
    <w:p>
      <w:pPr>
        <w:spacing w:before="60" w:after="80" w:line="276" w:lineRule="auto"/>
        <w:jc w:val="both"/>
      </w:pPr>
      <w:r>
        <w:rPr>
          <w:rFonts w:ascii="Times New Roman" w:hAnsi="Times New Roman"/>
          <w:b w:val="0"/>
          <w:i w:val="0"/>
          <w:color w:val="000000"/>
          <w:sz w:val="21"/>
        </w:rPr>
        <w:t>5. The necessity of in vitro and in vivo pharmacological validation.</w:t>
      </w:r>
    </w:p>
    <w:p>
      <w:pPr>
        <w:spacing w:before="60" w:after="40" w:line="276" w:lineRule="auto"/>
        <w:ind w:left="360"/>
      </w:pPr>
      <w:r>
        <w:rPr>
          <w:rFonts w:ascii="Times New Roman" w:hAnsi="Times New Roman"/>
          <w:color w:val="000000"/>
          <w:sz w:val="21"/>
        </w:rPr>
        <w:t xml:space="preserve">• </w:t>
      </w:r>
      <w:r>
        <w:rPr>
          <w:rFonts w:ascii="Times New Roman" w:hAnsi="Times New Roman"/>
          <w:b/>
          <w:color w:val="000000"/>
          <w:sz w:val="21"/>
        </w:rPr>
        <w:t>Comment 34 (Figure Captions):</w:t>
      </w:r>
      <w:r>
        <w:rPr>
          <w:rFonts w:ascii="Times New Roman" w:hAnsi="Times New Roman"/>
          <w:color w:val="000000"/>
          <w:sz w:val="21"/>
        </w:rPr>
      </w:r>
    </w:p>
    <w:p>
      <w:pPr>
        <w:spacing w:before="60" w:after="80" w:line="276" w:lineRule="auto"/>
        <w:jc w:val="both"/>
      </w:pPr>
      <w:r>
        <w:rPr>
          <w:rFonts w:ascii="Times New Roman" w:hAnsi="Times New Roman"/>
          <w:b w:val="0"/>
          <w:i w:val="0"/>
          <w:color w:val="000000"/>
          <w:sz w:val="21"/>
        </w:rPr>
        <w:t>* *Action Taken:* Captions for Figures 1, 2, 7, and 8 were updated to provide complete evidential context (e.g., specifying that Figure 8 represents in silico topological network disruption and Figure 2 represents physical occupancy priors).</w:t>
      </w:r>
    </w:p>
    <w:p>
      <w:pPr>
        <w:keepNext/>
        <w:spacing w:before="280" w:after="80"/>
      </w:pPr>
      <w:r>
        <w:rPr>
          <w:rFonts w:ascii="Times New Roman" w:hAnsi="Times New Roman"/>
          <w:b/>
          <w:color w:val="000000"/>
          <w:sz w:val="27"/>
        </w:rPr>
        <w:t>Verification Summary of Updated Files</w:t>
      </w:r>
    </w:p>
    <w:p>
      <w:pPr>
        <w:spacing w:before="60" w:after="40" w:line="276" w:lineRule="auto"/>
        <w:ind w:left="360"/>
      </w:pPr>
      <w:r>
        <w:rPr>
          <w:rFonts w:ascii="Times New Roman" w:hAnsi="Times New Roman"/>
          <w:color w:val="000000"/>
          <w:sz w:val="21"/>
        </w:rPr>
        <w:t xml:space="preserve">• </w:t>
      </w:r>
      <w:r>
        <w:rPr>
          <w:rFonts w:ascii="Times New Roman" w:hAnsi="Times New Roman"/>
          <w:b/>
          <w:color w:val="000000"/>
          <w:sz w:val="21"/>
        </w:rPr>
        <w:t>Main Manuscript Draft:</w:t>
      </w:r>
      <w:r>
        <w:rPr>
          <w:rFonts w:ascii="Times New Roman" w:hAnsi="Times New Roman"/>
          <w:color w:val="000000"/>
          <w:sz w:val="21"/>
        </w:rPr>
        <w:t xml:space="preserve"> [`TNBC_Manuscript_Full_Draft.docx`](file:///L:/TNBC_Work/tnbc-causal-grn/manuscript/TNBC_Manuscript_Full_Draft.docx) &amp; [`TNBC_Manuscript_Full_Draft.pdf`](file:///L:/TNBC_Work/tnbc-causal-grn/manuscript/TNBC_Manuscript_Full_Draft.pdf) (Clean 30 pages, zero blank pages).</w:t>
      </w:r>
    </w:p>
    <w:p>
      <w:pPr>
        <w:spacing w:before="60" w:after="40" w:line="276" w:lineRule="auto"/>
        <w:ind w:left="360"/>
      </w:pPr>
      <w:r>
        <w:rPr>
          <w:rFonts w:ascii="Times New Roman" w:hAnsi="Times New Roman"/>
          <w:color w:val="000000"/>
          <w:sz w:val="21"/>
        </w:rPr>
        <w:t xml:space="preserve">• </w:t>
      </w:r>
      <w:r>
        <w:rPr>
          <w:rFonts w:ascii="Times New Roman" w:hAnsi="Times New Roman"/>
          <w:b/>
          <w:color w:val="000000"/>
          <w:sz w:val="21"/>
        </w:rPr>
        <w:t>Manuscript Tables:</w:t>
      </w:r>
      <w:r>
        <w:rPr>
          <w:rFonts w:ascii="Times New Roman" w:hAnsi="Times New Roman"/>
          <w:color w:val="000000"/>
          <w:sz w:val="21"/>
        </w:rPr>
        <w:t xml:space="preserve"> [`Manuscript_Tables_All.docx`](file:///L:/TNBC_Work/Manuscript_Tables/Manuscript_Tables_All.docx) &amp; [`Manuscript_Tables_All.pdf`](file:///L:/TNBC_Work/Manuscript_Tables/Manuscript_Tables_All.pdf) (Exactly 7 pages, Tables 1–7).</w:t>
      </w:r>
    </w:p>
    <w:p>
      <w:pPr>
        <w:spacing w:before="60" w:after="40" w:line="276" w:lineRule="auto"/>
        <w:ind w:left="360"/>
      </w:pPr>
      <w:r>
        <w:rPr>
          <w:rFonts w:ascii="Times New Roman" w:hAnsi="Times New Roman"/>
          <w:color w:val="000000"/>
          <w:sz w:val="21"/>
        </w:rPr>
        <w:t xml:space="preserve">• </w:t>
      </w:r>
      <w:r>
        <w:rPr>
          <w:rFonts w:ascii="Times New Roman" w:hAnsi="Times New Roman"/>
          <w:b/>
          <w:color w:val="000000"/>
          <w:sz w:val="21"/>
        </w:rPr>
        <w:t>Supplementary Information:</w:t>
      </w:r>
      <w:r>
        <w:rPr>
          <w:rFonts w:ascii="Times New Roman" w:hAnsi="Times New Roman"/>
          <w:color w:val="000000"/>
          <w:sz w:val="21"/>
        </w:rPr>
        <w:t xml:space="preserve"> [`Supplementary_Information.docx`](file:///L:/TNBC_Work/Supplementary_Materials/Supplementary_Information.docx) &amp; [`Supplementary_Information.pdf`](file:///L:/TNBC_Work/Supplementary_Materials/Supplementary_Information.pdf).</w:t>
      </w:r>
    </w:p>
    <w:p>
      <w:pPr>
        <w:spacing w:before="60" w:after="40" w:line="276" w:lineRule="auto"/>
        <w:ind w:left="360"/>
      </w:pPr>
      <w:r>
        <w:rPr>
          <w:rFonts w:ascii="Times New Roman" w:hAnsi="Times New Roman"/>
          <w:color w:val="000000"/>
          <w:sz w:val="21"/>
        </w:rPr>
        <w:t xml:space="preserve">• </w:t>
      </w:r>
      <w:r>
        <w:rPr>
          <w:rFonts w:ascii="Times New Roman" w:hAnsi="Times New Roman"/>
          <w:b/>
          <w:color w:val="000000"/>
          <w:sz w:val="21"/>
        </w:rPr>
        <w:t>Reporting Checklist:</w:t>
      </w:r>
      <w:r>
        <w:rPr>
          <w:rFonts w:ascii="Times New Roman" w:hAnsi="Times New Roman"/>
          <w:color w:val="000000"/>
          <w:sz w:val="21"/>
        </w:rPr>
        <w:t xml:space="preserve"> [`STROBE_Statement_Checklist.docx`](file:///L:/TNBC_Work/Supplementary_Materials/STROBE_Statement_Checklist.docx) &amp; [`STROBE_Statement_Checklist.pdf`](file:///L:/TNBC_Work/Supplementary_Materials/STROBE_Statement_Checklist.pdf).</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