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079" w:rsidRDefault="00685170">
      <w:pPr>
        <w:spacing w:before="200" w:after="120"/>
        <w:jc w:val="center"/>
      </w:pPr>
      <w:r>
        <w:rPr>
          <w:rFonts w:ascii="Times New Roman" w:hAnsi="Times New Roman"/>
          <w:b/>
          <w:color w:val="000000"/>
          <w:sz w:val="36"/>
        </w:rPr>
        <w:t>Manuscript Tables</w:t>
      </w:r>
    </w:p>
    <w:p w:rsidR="005F4079" w:rsidRDefault="00685170">
      <w:pPr>
        <w:spacing w:before="0" w:after="160"/>
        <w:jc w:val="center"/>
      </w:pPr>
      <w:r/>
      <w:r>
        <w:rPr>
          <w:rFonts w:ascii="Times New Roman" w:hAnsi="Times New Roman"/>
          <w:b/>
          <w:i/>
          <w:color w:val="000000"/>
          <w:sz w:val="23"/>
        </w:rPr>
        <w:t>Integrating CRISPRi Perturbation Responses and Transcription-Factor Binding Priors for Regulatory Network Inference in Triple-Negative Breast Cancer</w:t>
      </w:r>
    </w:p>
    <w:p w:rsidR="005F4079" w:rsidRDefault="00685170">
      <w:pPr>
        <w:spacing w:after="80" w:before="0"/>
        <w:jc w:val="center"/>
      </w:pPr>
      <w:r/>
      <w:r>
        <w:rPr>
          <w:rFonts w:ascii="Times New Roman" w:hAnsi="Times New Roman"/>
          <w:b w:val="0"/>
          <w:color w:val="000000"/>
          <w:sz w:val="22"/>
        </w:rPr>
        <w:t>Omar Faroque¹, Mst. Homayra Jannaty¹, Shahriar Ahmed Abir², Suman Biswas¹*</w:t>
      </w:r>
    </w:p>
    <w:p w:rsidR="005F4079" w:rsidRDefault="00685170">
      <w:pPr>
        <w:spacing w:after="280" w:before="0"/>
        <w:jc w:val="center"/>
      </w:pPr>
      <w:r/>
      <w:r>
        <w:rPr>
          <w:rFonts w:ascii="Times New Roman" w:hAnsi="Times New Roman"/>
          <w:i/>
          <w:color w:val="000000"/>
          <w:sz w:val="19"/>
        </w:rPr>
        <w:t>¹ Department of Statistics, Faculty of Sciences, Islamic University, Kushtia-7003, Bangladesh</w:t>
        <w:br/>
        <w:t>² Department of Biotechnology and Genetic Engineering, Faculty of Biological Sciences, Islamic University, Kushtia-7003, Bangladesh</w:t>
        <w:br/>
        <w:t>* Corresponding Author: suman@stat.iu.ac.bd</w:t>
      </w:r>
    </w:p>
    <w:p w:rsidR="005F4079" w:rsidRDefault="00685170">
      <w:pPr>
        <w:spacing w:before="80" w:after="120"/>
        <w:jc w:val="both"/>
      </w:pPr>
      <w:r>
        <w:rPr>
          <w:rFonts w:ascii="Times New Roman" w:hAnsi="Times New Roman"/>
          <w:b/>
          <w:color w:val="000000"/>
        </w:rPr>
        <w:t>Table 1. Overview of the single-cell CRISPRi perturbation dataset and cohort parameters in TNBC (GSE224986).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5F4079">
        <w:trPr>
          <w:cantSplit/>
          <w:tblHeader/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Metric / Parameter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Value / Description</w:t>
            </w:r>
          </w:p>
        </w:tc>
      </w:tr>
      <w:tr w:rsidR="005F4079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Organism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Homo sapiens (Human)</w:t>
            </w:r>
          </w:p>
        </w:tc>
      </w:tr>
      <w:tr w:rsidR="005F4079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Breast Cancer Subtype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Triple-Negative Breast Cancer (TNBC)</w:t>
            </w:r>
          </w:p>
        </w:tc>
      </w:tr>
      <w:tr w:rsidR="005F4079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Cell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Line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MDA-MB-231</w:t>
            </w:r>
          </w:p>
        </w:tc>
      </w:tr>
      <w:tr w:rsidR="005F4079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CRISPR Perturbation Modality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CRISPR interference (CRISPRi / dCas9-KRAB)</w:t>
            </w:r>
          </w:p>
        </w:tc>
      </w:tr>
      <w:tr w:rsidR="005F4079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Screen Type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Somatic Mutation Regulatory Enhancer Screen</w:t>
            </w:r>
          </w:p>
        </w:tc>
      </w:tr>
      <w:tr w:rsidR="005F4079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Total Sequenced Cells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95,678</w:t>
            </w:r>
          </w:p>
        </w:tc>
      </w:tr>
      <w:tr w:rsidR="005F4079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Total Filtered Genes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32,799</w:t>
            </w:r>
          </w:p>
        </w:tc>
      </w:tr>
      <w:tr w:rsidR="005F4079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Total CRISPRi Guides Preserved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11,975</w:t>
            </w:r>
          </w:p>
        </w:tc>
      </w:tr>
      <w:tr w:rsidR="005F4079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Target </w:t>
            </w:r>
            <w:r>
              <w:rPr>
                <w:rFonts w:ascii="Times New Roman" w:hAnsi="Times New Roman"/>
                <w:color w:val="000000"/>
                <w:sz w:val="19"/>
              </w:rPr>
              <w:t>Enhancer Loci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819</w:t>
            </w:r>
          </w:p>
        </w:tc>
      </w:tr>
      <w:tr w:rsidR="005F4079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Single-Guide Perturbation Cohort (Primary Causal Analysis)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3,930 cells</w:t>
            </w:r>
          </w:p>
        </w:tc>
      </w:tr>
      <w:tr w:rsidR="005F4079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Multi-Guide Combinatorial Cohort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83,981 cells</w:t>
            </w:r>
          </w:p>
        </w:tc>
      </w:tr>
      <w:tr w:rsidR="005F4079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Unassigned / Control Cohort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7,767 cells</w:t>
            </w:r>
          </w:p>
        </w:tc>
      </w:tr>
      <w:tr w:rsidR="005F4079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Experimental 10x Genomics Lanes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 w:rsidP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8 lanes (Lanes 1-8)</w:t>
            </w:r>
          </w:p>
        </w:tc>
      </w:tr>
    </w:tbl>
    <w:p w:rsidR="005F4079" w:rsidRDefault="00685170">
      <w:pPr>
        <w:spacing w:before="120" w:after="80"/>
        <w:jc w:val="both"/>
      </w:pPr>
      <w:r>
        <w:rPr>
          <w:rFonts w:ascii="Times New Roman" w:hAnsi="Times New Roman"/>
          <w:color w:val="000000"/>
          <w:sz w:val="18"/>
        </w:rPr>
        <w:t xml:space="preserve">Note: Single-cell </w:t>
      </w:r>
      <w:r>
        <w:rPr>
          <w:rFonts w:ascii="Times New Roman" w:hAnsi="Times New Roman"/>
          <w:color w:val="000000"/>
          <w:sz w:val="18"/>
        </w:rPr>
        <w:t>libraries were generated using 10x Genomics Chromium 3' chemistry with direct guide capture across 8 lanes (Lewis et al., 2024). Full cell metadata also preserved in Supplementary Data 1.</w:t>
      </w:r>
    </w:p>
    <w:p w:rsidR="005F4079" w:rsidRDefault="005F4079">
      <w:pPr>
        <w:sectPr w:rsidR="005F4079"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  <w:bookmarkStart w:id="0" w:name="_GoBack"/>
      <w:bookmarkEnd w:id="0"/>
    </w:p>
    <w:p w:rsidR="005F4079" w:rsidRDefault="00685170">
      <w:pPr>
        <w:spacing w:before="80" w:after="120"/>
        <w:jc w:val="both"/>
      </w:pPr>
      <w:r>
        <w:rPr>
          <w:rFonts w:ascii="Times New Roman" w:hAnsi="Times New Roman"/>
          <w:b/>
          <w:color w:val="000000"/>
        </w:rPr>
        <w:lastRenderedPageBreak/>
        <w:t>Table 2. Top transcription factors physically bound to p</w:t>
      </w:r>
      <w:r>
        <w:rPr>
          <w:rFonts w:ascii="Times New Roman" w:hAnsi="Times New Roman"/>
          <w:b/>
          <w:color w:val="000000"/>
        </w:rPr>
        <w:t>erturbed enhancers in TNBC (ENCODE ChIP-seq priors).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5F4079">
        <w:trPr>
          <w:cantSplit/>
          <w:tblHeader/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Transcription Factor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Target Enhancers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Total Binding Events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Mean ChIP Confidence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Max ChIP Confidence</w:t>
            </w:r>
          </w:p>
        </w:tc>
      </w:tr>
      <w:tr w:rsidR="005F4079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CTCF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242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253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485.6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5F4079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POLR2A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238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249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511.4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5F4079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EP300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175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186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557.3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5F4079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JUND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155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166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517.9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5F4079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RAD21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148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158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406.3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5F4079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IKZF1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145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156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445.7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5F4079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SP1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142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149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545.1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5F4079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REST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142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149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323.9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5F4079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MYC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139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151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559.1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5F4079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FOS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137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142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553.4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5F4079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MAX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125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138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570.8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5F4079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YY1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123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128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470.5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</w:tbl>
    <w:p w:rsidR="005F4079" w:rsidRDefault="00685170">
      <w:pPr>
        <w:spacing w:before="120" w:after="80"/>
        <w:jc w:val="both"/>
      </w:pPr>
      <w:r>
        <w:rPr>
          <w:rFonts w:ascii="Times New Roman" w:hAnsi="Times New Roman"/>
          <w:color w:val="000000"/>
          <w:sz w:val="18"/>
        </w:rPr>
        <w:t xml:space="preserve">Note: Top 12 transcription factors ranked by target </w:t>
      </w:r>
      <w:r>
        <w:rPr>
          <w:rFonts w:ascii="Times New Roman" w:hAnsi="Times New Roman"/>
          <w:color w:val="000000"/>
          <w:sz w:val="18"/>
        </w:rPr>
        <w:t>enhancer occupancy shown. Complete 15,059-edge prior matrix provided in Supplementary Table 1 (Supplementary_Table_1_Full_15k_TF_Enhancer_Priors.xlsx).</w:t>
      </w:r>
    </w:p>
    <w:p w:rsidR="005F4079" w:rsidRDefault="005F4079">
      <w:pPr>
        <w:sectPr w:rsidR="005F4079"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:rsidR="005F4079" w:rsidRDefault="00685170">
      <w:pPr>
        <w:spacing w:before="80" w:after="120"/>
        <w:jc w:val="both"/>
      </w:pPr>
      <w:r>
        <w:rPr>
          <w:rFonts w:ascii="Times New Roman" w:hAnsi="Times New Roman"/>
          <w:b/>
          <w:color w:val="000000"/>
        </w:rPr>
        <w:lastRenderedPageBreak/>
        <w:t>Table 3. Top master causal transcription factors prioritized in the triangulated TNBC regula</w:t>
      </w:r>
      <w:r>
        <w:rPr>
          <w:rFonts w:ascii="Times New Roman" w:hAnsi="Times New Roman"/>
          <w:b/>
          <w:color w:val="000000"/>
        </w:rPr>
        <w:t>tory network.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  <w:gridCol w:w="2256"/>
        <w:gridCol w:w="2256"/>
      </w:tblGrid>
      <w:tr w:rsidR="005F4079">
        <w:trPr>
          <w:cantSplit/>
          <w:tblHeader/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Transcription Factor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Controlled Enhancers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Target Genes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Total Causal Edges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Mean Causal Weight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Max Causal Weight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CTCF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106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2228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118738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2.30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42.42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POLR2A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101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2151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110463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2.54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50.84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JUND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69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2103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75316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2.49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45.33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EP300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65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2078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67275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2.85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32.42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IKZF1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58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2039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63658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2.02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29.38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RAD21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58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2041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63166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2.30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37.77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REST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57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2024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62513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1.53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32.76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MAX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2009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61079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2.56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40.82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MYC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54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2007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60903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2.92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29.59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SP1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56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2036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59043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2.72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38.42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SIN3A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50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1997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55113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3.11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34.04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FOS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2030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54762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2.84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47.84</w:t>
            </w:r>
          </w:p>
        </w:tc>
      </w:tr>
    </w:tbl>
    <w:p w:rsidR="005F4079" w:rsidRDefault="00685170">
      <w:pPr>
        <w:spacing w:before="120" w:after="80"/>
        <w:jc w:val="both"/>
      </w:pPr>
      <w:r>
        <w:rPr>
          <w:rFonts w:ascii="Times New Roman" w:hAnsi="Times New Roman"/>
          <w:color w:val="000000"/>
          <w:sz w:val="18"/>
        </w:rPr>
        <w:t xml:space="preserve">Note: </w:t>
      </w:r>
      <w:r>
        <w:rPr>
          <w:rFonts w:ascii="Times New Roman" w:hAnsi="Times New Roman"/>
          <w:color w:val="000000"/>
          <w:sz w:val="18"/>
        </w:rPr>
        <w:t>Top 12 causal regulators ranked by total causal outgoing edges shown. Complete multi-million causal edge matrix provided in Supplementary Data 3.</w:t>
      </w:r>
    </w:p>
    <w:p w:rsidR="005F4079" w:rsidRDefault="005F4079">
      <w:pPr>
        <w:sectPr w:rsidR="005F4079"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 w:rsidR="005F4079" w:rsidRDefault="00685170">
      <w:pPr>
        <w:spacing w:before="80" w:after="120"/>
        <w:jc w:val="both"/>
      </w:pPr>
      <w:r>
        <w:rPr>
          <w:rFonts w:ascii="Times New Roman" w:hAnsi="Times New Roman"/>
          <w:b/>
          <w:color w:val="000000"/>
        </w:rPr>
        <w:lastRenderedPageBreak/>
        <w:t xml:space="preserve">Table 4. Prioritized TNBC transcriptional master drivers with network centrality and </w:t>
      </w:r>
      <w:r>
        <w:rPr>
          <w:rFonts w:ascii="Times New Roman" w:hAnsi="Times New Roman"/>
          <w:b/>
          <w:color w:val="000000"/>
        </w:rPr>
        <w:t>phenotypic scores.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934"/>
        <w:gridCol w:w="1934"/>
        <w:gridCol w:w="1934"/>
        <w:gridCol w:w="1934"/>
        <w:gridCol w:w="1934"/>
        <w:gridCol w:w="1934"/>
        <w:gridCol w:w="1934"/>
      </w:tblGrid>
      <w:tr w:rsidR="005F4079">
        <w:trPr>
          <w:cantSplit/>
          <w:tblHeader/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Driver TF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Target Genes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PageRank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Cumulative Weight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Upregulated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Downregulated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Master Score</w:t>
            </w:r>
          </w:p>
        </w:tc>
      </w:tr>
      <w:tr w:rsidR="005F4079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CTCF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2228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0.000329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272,518.4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2201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0.9861</w:t>
            </w:r>
          </w:p>
        </w:tc>
      </w:tr>
      <w:tr w:rsidR="005F4079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POLR2A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2151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0.000329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280,330.4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2124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0.9827</w:t>
            </w:r>
          </w:p>
        </w:tc>
      </w:tr>
      <w:tr w:rsidR="005F4079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EP300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2078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0.000329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191,912.5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2051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0.8086</w:t>
            </w:r>
          </w:p>
        </w:tc>
      </w:tr>
      <w:tr w:rsidR="005F4079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JUND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2103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0.000372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187,335.6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2076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0.8061</w:t>
            </w:r>
          </w:p>
        </w:tc>
      </w:tr>
      <w:tr w:rsidR="005F4079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MYC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2007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0.000330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177,786.0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1980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0.7675</w:t>
            </w:r>
          </w:p>
        </w:tc>
      </w:tr>
      <w:tr w:rsidR="005F4079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SIN3A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1997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0.000329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171,489.5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1970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0.7540</w:t>
            </w:r>
          </w:p>
        </w:tc>
      </w:tr>
      <w:tr w:rsidR="005F4079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SP1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2036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0.000329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160,854.3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2009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0.7438</w:t>
            </w:r>
          </w:p>
        </w:tc>
      </w:tr>
      <w:tr w:rsidR="005F4079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FOS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2030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0.000329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155,256.3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2003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0.7325</w:t>
            </w:r>
          </w:p>
        </w:tc>
      </w:tr>
      <w:tr w:rsidR="005F4079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HDAC2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2003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0.000361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158,059.2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1976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0.7314</w:t>
            </w:r>
          </w:p>
        </w:tc>
      </w:tr>
      <w:tr w:rsidR="005F4079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MAX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2009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0.000329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156,198.2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1982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0.7294</w:t>
            </w:r>
          </w:p>
        </w:tc>
      </w:tr>
    </w:tbl>
    <w:p w:rsidR="005F4079" w:rsidRDefault="00685170">
      <w:pPr>
        <w:spacing w:before="120" w:after="80"/>
        <w:jc w:val="both"/>
      </w:pPr>
      <w:r>
        <w:rPr>
          <w:rFonts w:ascii="Times New Roman" w:hAnsi="Times New Roman"/>
          <w:color w:val="000000"/>
          <w:sz w:val="18"/>
        </w:rPr>
        <w:t>Note: Top 10 prioritized drivers ranked by Master Regulatory Score shown. Complete 25-driver cohort provided in repository table.</w:t>
      </w:r>
    </w:p>
    <w:p w:rsidR="005F4079" w:rsidRDefault="005F4079">
      <w:pPr>
        <w:sectPr w:rsidR="005F4079"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 w:rsidR="005F4079" w:rsidRDefault="00685170">
      <w:pPr>
        <w:spacing w:before="80" w:after="120"/>
        <w:jc w:val="both"/>
      </w:pPr>
      <w:r>
        <w:rPr>
          <w:rFonts w:ascii="Times New Roman" w:hAnsi="Times New Roman"/>
          <w:b/>
          <w:color w:val="000000"/>
        </w:rPr>
        <w:lastRenderedPageBreak/>
        <w:t>Table 5. Explainable AI (SHAP) feature attribution ranki</w:t>
      </w:r>
      <w:r>
        <w:rPr>
          <w:rFonts w:ascii="Times New Roman" w:hAnsi="Times New Roman"/>
          <w:b/>
          <w:color w:val="000000"/>
        </w:rPr>
        <w:t>ngs and causal regulatory weights for master transcriptional drivers in TNBC.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F4079">
        <w:trPr>
          <w:cantSplit/>
          <w:tblHeader/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Master Regulator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Mean Absolute SHAP Impact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Feature Weight Sum</w:t>
            </w:r>
          </w:p>
        </w:tc>
      </w:tr>
      <w:tr w:rsidR="005F4079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JUND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0.029582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3,798.18</w:t>
            </w:r>
          </w:p>
        </w:tc>
      </w:tr>
      <w:tr w:rsidR="005F4079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MYC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0.017427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3,391.99</w:t>
            </w:r>
          </w:p>
        </w:tc>
      </w:tr>
      <w:tr w:rsidR="005F4079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MAX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0.012536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3,594.96</w:t>
            </w:r>
          </w:p>
        </w:tc>
      </w:tr>
      <w:tr w:rsidR="005F4079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EP300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0.011668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3,690.95</w:t>
            </w:r>
          </w:p>
        </w:tc>
      </w:tr>
      <w:tr w:rsidR="005F4079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CTCF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0.008296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4,484.27</w:t>
            </w:r>
          </w:p>
        </w:tc>
      </w:tr>
      <w:tr w:rsidR="005F4079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HDAC2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0.006833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3,451.96</w:t>
            </w:r>
          </w:p>
        </w:tc>
      </w:tr>
      <w:tr w:rsidR="005F4079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SIN3A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0.006764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3,713.95</w:t>
            </w:r>
          </w:p>
        </w:tc>
      </w:tr>
      <w:tr w:rsidR="005F4079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SP1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0.005498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3,979.86</w:t>
            </w:r>
          </w:p>
        </w:tc>
      </w:tr>
      <w:tr w:rsidR="005F4079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POLR2A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0.004045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4,186.99</w:t>
            </w:r>
          </w:p>
        </w:tc>
      </w:tr>
      <w:tr w:rsidR="005F4079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FOS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0.003714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3,931.08</w:t>
            </w:r>
          </w:p>
        </w:tc>
      </w:tr>
    </w:tbl>
    <w:p w:rsidR="005F4079" w:rsidRDefault="00685170">
      <w:pPr>
        <w:spacing w:before="120" w:after="80"/>
        <w:jc w:val="both"/>
      </w:pPr>
      <w:r>
        <w:rPr>
          <w:rFonts w:ascii="Times New Roman" w:hAnsi="Times New Roman"/>
          <w:color w:val="000000"/>
          <w:sz w:val="18"/>
        </w:rPr>
        <w:t xml:space="preserve">Note: SHAP values computed via TreeExplainer from XGBoost Regressors predicting target gene perturbation responsiveness </w:t>
      </w:r>
      <w:r>
        <w:rPr>
          <w:rFonts w:ascii="Times New Roman" w:hAnsi="Times New Roman"/>
          <w:color w:val="000000"/>
          <w:sz w:val="18"/>
        </w:rPr>
        <w:t>(test R2 = 0.742).</w:t>
      </w:r>
    </w:p>
    <w:p w:rsidR="005F4079" w:rsidRDefault="005F4079">
      <w:pPr>
        <w:sectPr w:rsidR="005F4079"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:rsidR="005F4079" w:rsidRDefault="00685170">
      <w:pPr>
        <w:spacing w:before="80" w:after="120"/>
        <w:jc w:val="both"/>
      </w:pPr>
      <w:r>
        <w:rPr>
          <w:rFonts w:ascii="Times New Roman" w:hAnsi="Times New Roman"/>
          <w:b/>
          <w:color w:val="000000"/>
        </w:rPr>
        <w:lastRenderedPageBreak/>
        <w:t>Table 6. Quantitative benchmarking performance metrics across GRN reconstruction methods in TNBC single-cell perturbation data.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934"/>
        <w:gridCol w:w="1934"/>
        <w:gridCol w:w="1934"/>
        <w:gridCol w:w="1934"/>
        <w:gridCol w:w="1934"/>
        <w:gridCol w:w="1934"/>
        <w:gridCol w:w="1934"/>
      </w:tblGrid>
      <w:tr w:rsidR="005F4079">
        <w:trPr>
          <w:cantSplit/>
          <w:tblHeader/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Method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AUROC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AUPRC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Precision (Top 25%)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Recall (Top 25%)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F1-Score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False Discovery Rate (FDR)</w:t>
            </w:r>
          </w:p>
        </w:tc>
      </w:tr>
      <w:tr w:rsidR="005F4079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Triangulated Causal ML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0.8999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0.8745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0.9013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0.5633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0.6933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0.0987</w:t>
            </w:r>
          </w:p>
        </w:tc>
      </w:tr>
      <w:tr w:rsidR="005F4079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ChIP-seq Prior Alone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0.8890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0.7228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0.7560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0.4725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0.5815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0.2440</w:t>
            </w:r>
          </w:p>
        </w:tc>
      </w:tr>
      <w:tr w:rsidR="005F4079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Co-expression (Correlation)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0.7292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0.6814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0.6773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0.4233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0.5210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0.3227</w:t>
            </w:r>
          </w:p>
        </w:tc>
      </w:tr>
      <w:tr w:rsidR="005F4079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GENIE3 (Tree Regression)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0.6698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0.6323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0.6427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0.4017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0.4944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0.3573</w:t>
            </w:r>
          </w:p>
        </w:tc>
      </w:tr>
    </w:tbl>
    <w:p w:rsidR="005F4079" w:rsidRDefault="00685170">
      <w:pPr>
        <w:spacing w:before="120" w:after="80"/>
        <w:jc w:val="both"/>
      </w:pPr>
      <w:r>
        <w:rPr>
          <w:rFonts w:ascii="Times New Roman" w:hAnsi="Times New Roman"/>
          <w:color w:val="000000"/>
          <w:sz w:val="18"/>
        </w:rPr>
        <w:t>Note: Benchmarked against held-out experimental CRISPRi ground truth (|log2 FC| &gt;= 0.50, |t| &gt;= 3.0) and negative control edges in MDA-MB-231 cells.</w:t>
      </w:r>
    </w:p>
    <w:p w:rsidR="005F4079" w:rsidRDefault="005F4079">
      <w:pPr>
        <w:sectPr w:rsidR="005F4079"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 w:rsidR="005F4079" w:rsidRDefault="00685170">
      <w:pPr>
        <w:spacing w:before="80" w:after="120"/>
        <w:jc w:val="both"/>
      </w:pPr>
      <w:r>
        <w:rPr>
          <w:rFonts w:ascii="Times New Roman" w:hAnsi="Times New Roman"/>
          <w:b/>
          <w:color w:val="000000"/>
        </w:rPr>
        <w:lastRenderedPageBreak/>
        <w:t>Table 7. Actionable therapeutic targets, inhibitor classes, clinical trial</w:t>
      </w:r>
      <w:r>
        <w:rPr>
          <w:rFonts w:ascii="Times New Roman" w:hAnsi="Times New Roman"/>
          <w:b/>
          <w:color w:val="000000"/>
        </w:rPr>
        <w:t xml:space="preserve"> phases, and predicted network sensitivity scores in TNBC.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  <w:gridCol w:w="2256"/>
        <w:gridCol w:w="2256"/>
      </w:tblGrid>
      <w:tr w:rsidR="005F4079">
        <w:trPr>
          <w:cantSplit/>
          <w:tblHeader/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Master Regulator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Target Mechanism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Candidate Inhibitors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Clinical Phase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Mechanism of Action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Sensitivity Score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MYC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Super-Enhancer / BRD4 Transcription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JQ1, OTX015 (Birabresib), THZ1 (CDK7i)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 xml:space="preserve">Phase </w:t>
            </w:r>
            <w:r>
              <w:rPr>
                <w:rFonts w:ascii="Times New Roman" w:hAnsi="Times New Roman"/>
                <w:color w:val="000000"/>
                <w:sz w:val="17"/>
              </w:rPr>
              <w:t>I/II Clinical Trials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Disrupts BRD4 chromatin remodeling at oncogenic super-enhancers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0.94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EP300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Histone Acetyltransferase (HAT) Domain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A-485, CCS1477 (Inobrodib)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Phase I/II Clinical Trials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Blocks histone H3K27 acetylation, collapsing enhancer clusters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0.89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HDAC2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Class I Histone Deacetylase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Vorinostat (SAHA), Entinostat, Panobinostat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FDA Approved / Phase II in TNBC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Reverses epigenetic silencing of pro-apoptotic genes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0.85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JUND / FOS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AP-1 Dimerization &amp; DNA Binding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T-5224, Verteporfin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 xml:space="preserve">Preclinical / </w:t>
            </w:r>
            <w:r>
              <w:rPr>
                <w:rFonts w:ascii="Times New Roman" w:hAnsi="Times New Roman"/>
                <w:color w:val="000000"/>
                <w:sz w:val="17"/>
              </w:rPr>
              <w:t>Repurposed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Inhibits AP-1 DNA binding; suppresses EMT and metastasis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0.82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SP1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Zinc Finger Transcription Factor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Mithramycin A, EC-8042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Phase I / Preclinical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Binds GC-rich promoters, displacing oncogenic transcriptional initiation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0.78</w:t>
            </w:r>
          </w:p>
        </w:tc>
      </w:tr>
      <w:tr w:rsidR="005F4079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MAX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MYC-MAX Dimerizat</w:t>
            </w:r>
            <w:r>
              <w:rPr>
                <w:rFonts w:ascii="Times New Roman" w:hAnsi="Times New Roman"/>
                <w:color w:val="000000"/>
                <w:sz w:val="17"/>
              </w:rPr>
              <w:t>ion Interface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10058-F4, MYCMI-6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Preclinical Evaluation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Directly disrupts heterodimerization with MYC to block target transactivation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F4079" w:rsidRDefault="0068517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0.74</w:t>
            </w:r>
          </w:p>
        </w:tc>
      </w:tr>
    </w:tbl>
    <w:p w:rsidR="005F4079" w:rsidRDefault="00685170">
      <w:pPr>
        <w:spacing w:before="120" w:after="0"/>
        <w:jc w:val="both"/>
      </w:pPr>
      <w:r>
        <w:rPr>
          <w:rFonts w:ascii="Times New Roman" w:hAnsi="Times New Roman"/>
          <w:color w:val="000000"/>
          <w:sz w:val="18"/>
        </w:rPr>
        <w:t xml:space="preserve">Note: Predicted sensitivity scores derived from in silico topological network repression upon simulated target </w:t>
      </w:r>
      <w:r>
        <w:rPr>
          <w:rFonts w:ascii="Times New Roman" w:hAnsi="Times New Roman"/>
          <w:color w:val="000000"/>
          <w:sz w:val="18"/>
        </w:rPr>
        <w:t>inactivation.</w:t>
      </w:r>
    </w:p>
    <w:sectPr w:rsidR="005F4079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079"/>
    <w:rsid w:val="006851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519BB7D-B359-4097-B7C8-98C20A09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3E2EBE-C765-4D15-864C-6FADC4CE1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1308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R Computer</cp:lastModifiedBy>
  <cp:revision>2</cp:revision>
  <dcterms:created xsi:type="dcterms:W3CDTF">2013-12-23T23:15:00Z</dcterms:created>
  <dcterms:modified xsi:type="dcterms:W3CDTF">2026-10-23T13:21:00Z</dcterms:modified>
  <cp:category/>
</cp:coreProperties>
</file>