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60" w:line="276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STROBE Statement: Checklist of Items for Observational, Functional Genomic, and Interventional Studies</w:t>
      </w:r>
    </w:p>
    <w:p>
      <w:pPr>
        <w:spacing w:before="0" w:after="60" w:line="276" w:lineRule="auto"/>
        <w:jc w:val="center"/>
      </w:pPr>
      <w:r>
        <w:rPr>
          <w:rFonts w:ascii="Times New Roman" w:hAnsi="Times New Roman"/>
          <w:b/>
          <w:i/>
          <w:color w:val="000000"/>
          <w:sz w:val="22"/>
        </w:rPr>
        <w:t>Integrating CRISPRi Perturbation Responses and Transcription-Factor Binding Priors for Regulatory Network Inference in Triple-Negative Breast Cancer</w:t>
      </w:r>
    </w:p>
    <w:p>
      <w:pPr>
        <w:spacing w:before="0" w:after="40" w:line="276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0"/>
        </w:rPr>
        <w:t>Omar Faroque¹, Mst. Homayra Jannaty¹, Shahriar Ahmed Abir², Suman Biswas¹*</w:t>
      </w:r>
    </w:p>
    <w:p>
      <w:pPr>
        <w:spacing w:before="0" w:after="200" w:line="276" w:lineRule="auto"/>
        <w:jc w:val="center"/>
      </w:pPr>
      <w:r>
        <w:rPr>
          <w:rFonts w:ascii="Times New Roman" w:hAnsi="Times New Roman"/>
          <w:b w:val="0"/>
          <w:i/>
          <w:color w:val="000000"/>
          <w:sz w:val="17"/>
        </w:rPr>
        <w:t>¹ Department of Statistics, Faculty of Sciences, Islamic University, Kushtia-7003, Bangladesh</w:t>
        <w:br/>
        <w:t>² Department of Biotechnology and Genetic Engineering, Faculty of Biological Sciences, Islamic University, Kushtia-7003, Bangladesh</w:t>
        <w:br/>
        <w:t>* Corresponding Author: suman@stat.iu.ac.bd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0" w:space="0" w:color="000000"/>
          <w:bottom w:val="single" w:sz="10" w:space="0" w:color="000000"/>
          <w:left w:val="none"/>
          <w:right w:val="none"/>
          <w:insideH w:val="single" w:sz="4" w:space="0" w:color="E0E0E0"/>
          <w:insideV w:val="none"/>
        </w:tblBorders>
      </w:tblPr>
      <w:tblGrid>
        <w:gridCol w:w="2707"/>
        <w:gridCol w:w="2707"/>
        <w:gridCol w:w="2707"/>
        <w:gridCol w:w="2707"/>
        <w:gridCol w:w="2707"/>
      </w:tblGrid>
      <w:tr>
        <w:trPr>
          <w:tblHeader/>
          <w:cantSplit/>
        </w:trPr>
        <w:tc>
          <w:tcPr>
            <w:tcW w:type="dxa" w:w="216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</w:rPr>
            </w:r>
            <w:r>
              <w:rPr>
                <w:rFonts w:ascii="Times New Roman" w:hAnsi="Times New Roman"/>
                <w:b/>
                <w:color w:val="000000"/>
                <w:sz w:val="17"/>
              </w:rPr>
              <w:t>Section / Topic</w:t>
            </w:r>
          </w:p>
        </w:tc>
        <w:tc>
          <w:tcPr>
            <w:tcW w:type="dxa" w:w="86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</w:rPr>
            </w:r>
            <w:r>
              <w:rPr>
                <w:rFonts w:ascii="Times New Roman" w:hAnsi="Times New Roman"/>
                <w:b/>
                <w:color w:val="000000"/>
                <w:sz w:val="17"/>
              </w:rPr>
              <w:t>Item #</w:t>
            </w:r>
          </w:p>
        </w:tc>
        <w:tc>
          <w:tcPr>
            <w:tcW w:type="dxa" w:w="31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</w:rPr>
            </w:r>
            <w:r>
              <w:rPr>
                <w:rFonts w:ascii="Times New Roman" w:hAnsi="Times New Roman"/>
                <w:b/>
                <w:color w:val="000000"/>
                <w:sz w:val="17"/>
              </w:rPr>
              <w:t>STROBE Checklist Recommendation</w:t>
            </w:r>
          </w:p>
        </w:tc>
        <w:tc>
          <w:tcPr>
            <w:tcW w:type="dxa" w:w="561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</w:rPr>
            </w:r>
            <w:r>
              <w:rPr>
                <w:rFonts w:ascii="Times New Roman" w:hAnsi="Times New Roman"/>
                <w:b/>
                <w:color w:val="000000"/>
                <w:sz w:val="17"/>
              </w:rPr>
              <w:t>Detailed Implementation in TNBC Causal ML Manuscript</w:t>
            </w:r>
          </w:p>
        </w:tc>
        <w:tc>
          <w:tcPr>
            <w:tcW w:type="dxa" w:w="172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</w:rPr>
            </w:r>
            <w:r>
              <w:rPr>
                <w:rFonts w:ascii="Times New Roman" w:hAnsi="Times New Roman"/>
                <w:b/>
                <w:color w:val="000000"/>
                <w:sz w:val="17"/>
              </w:rPr>
              <w:t>Manuscript Location</w:t>
            </w:r>
          </w:p>
        </w:tc>
      </w:tr>
      <w:tr>
        <w:tc>
          <w:tcPr>
            <w:tcW w:type="dxa" w:w="216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</w:rPr>
            </w:r>
            <w:r>
              <w:rPr>
                <w:rFonts w:ascii="Times New Roman" w:hAnsi="Times New Roman"/>
                <w:b w:val="0"/>
                <w:color w:val="000000"/>
                <w:sz w:val="16"/>
              </w:rPr>
              <w:t>Title and Abstract</w:t>
            </w:r>
          </w:p>
        </w:tc>
        <w:tc>
          <w:tcPr>
            <w:tcW w:type="dxa" w:w="86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</w:rPr>
            </w:r>
            <w:r>
              <w:rPr>
                <w:rFonts w:ascii="Times New Roman" w:hAnsi="Times New Roman"/>
                <w:b w:val="0"/>
                <w:color w:val="000000"/>
                <w:sz w:val="16"/>
              </w:rPr>
              <w:t>1a</w:t>
            </w:r>
          </w:p>
        </w:tc>
        <w:tc>
          <w:tcPr>
            <w:tcW w:type="dxa" w:w="31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>
              <w:rPr>
                <w:rFonts w:ascii="Times New Roman" w:hAnsi="Times New Roman"/>
                <w:color w:val="000000"/>
              </w:rPr>
            </w:r>
            <w:r>
              <w:rPr>
                <w:rFonts w:ascii="Times New Roman" w:hAnsi="Times New Roman"/>
                <w:b w:val="0"/>
                <w:color w:val="000000"/>
                <w:sz w:val="16"/>
              </w:rPr>
              <w:t>Indicate study's design with a commonly used term in title/abstract</w:t>
            </w:r>
          </w:p>
        </w:tc>
        <w:tc>
          <w:tcPr>
            <w:tcW w:type="dxa" w:w="561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>
              <w:rPr>
                <w:rFonts w:ascii="Times New Roman" w:hAnsi="Times New Roman"/>
                <w:color w:val="000000"/>
              </w:rPr>
            </w:r>
            <w:r>
              <w:rPr>
                <w:rFonts w:ascii="Times New Roman" w:hAnsi="Times New Roman"/>
                <w:b w:val="0"/>
                <w:color w:val="000000"/>
                <w:sz w:val="16"/>
              </w:rPr>
              <w:t>Title and Abstract explicitly indicate the study design: genome-scale single-cell CRISPRi perturbation screening, multi-omics epigenetic prior integration, causal DAG triangulation, and clinical survival validation in human TNBC cohorts.</w:t>
            </w:r>
          </w:p>
        </w:tc>
        <w:tc>
          <w:tcPr>
            <w:tcW w:type="dxa" w:w="172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color w:val="000000"/>
              </w:rPr>
              <w:t>Page 1 (Title, Abstract, Author Summary)</w:t>
            </w:r>
          </w:p>
        </w:tc>
      </w:tr>
      <w:tr>
        <w:tc>
          <w:tcPr>
            <w:tcW w:type="dxa" w:w="216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</w:rPr>
            </w:r>
            <w:r>
              <w:rPr>
                <w:rFonts w:ascii="Times New Roman" w:hAnsi="Times New Roman"/>
                <w:b w:val="0"/>
                <w:color w:val="000000"/>
                <w:sz w:val="16"/>
              </w:rPr>
              <w:t>Title and Abstract</w:t>
            </w:r>
          </w:p>
        </w:tc>
        <w:tc>
          <w:tcPr>
            <w:tcW w:type="dxa" w:w="86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</w:rPr>
            </w:r>
            <w:r>
              <w:rPr>
                <w:rFonts w:ascii="Times New Roman" w:hAnsi="Times New Roman"/>
                <w:b w:val="0"/>
                <w:color w:val="000000"/>
                <w:sz w:val="16"/>
              </w:rPr>
              <w:t>1b</w:t>
            </w:r>
          </w:p>
        </w:tc>
        <w:tc>
          <w:tcPr>
            <w:tcW w:type="dxa" w:w="31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>
              <w:rPr>
                <w:rFonts w:ascii="Times New Roman" w:hAnsi="Times New Roman"/>
                <w:color w:val="000000"/>
              </w:rPr>
            </w:r>
            <w:r>
              <w:rPr>
                <w:rFonts w:ascii="Times New Roman" w:hAnsi="Times New Roman"/>
                <w:b w:val="0"/>
                <w:color w:val="000000"/>
                <w:sz w:val="16"/>
              </w:rPr>
              <w:t>Provide an informative and balanced summary of what was done and found</w:t>
            </w:r>
          </w:p>
        </w:tc>
        <w:tc>
          <w:tcPr>
            <w:tcW w:type="dxa" w:w="561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>
              <w:rPr>
                <w:rFonts w:ascii="Times New Roman" w:hAnsi="Times New Roman"/>
                <w:color w:val="000000"/>
              </w:rPr>
            </w:r>
            <w:r>
              <w:rPr>
                <w:rFonts w:ascii="Times New Roman" w:hAnsi="Times New Roman"/>
                <w:b w:val="0"/>
                <w:color w:val="000000"/>
                <w:sz w:val="16"/>
              </w:rPr>
              <w:t>Structured abstract delineates clinical rationale (TNBC chemo-refractoriness); experimental scale (GSE224986; 95,678 cells, 11,975 sgRNAs, 819 super-enhancers); causal triangulation methodology; 6,366,350 reconstructed causal paths; prioritized master drivers (CTCF, POLR2A, EP300, JUND, MYC, SIN3A, SP1, FOS, HDAC2, MAX); enriched Hallmark pathways (EMT, E2F, G2M, Hypoxia); non-linear SHAP threshold switches; benchmarking vs GENIE3/co-expression (AUPRC = 0.875, AUROC = 0.900 vs 0.632 / 0.681); in silico driver KO validation (R² = 0.473, r = 0.688, p = 3.37 × 10⁻¹²², N = 864); clinical survival in TCGA-BRCA (n = 160) and METABRIC (n = 320); and triple epigenetic combination therapy (BETi + HATi + HDACi) collapsing 93% of oncogenic circuitry.</w:t>
            </w:r>
          </w:p>
        </w:tc>
        <w:tc>
          <w:tcPr>
            <w:tcW w:type="dxa" w:w="172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color w:val="000000"/>
              </w:rPr>
              <w:t>Pages 1–2 (Abstract, Author Summary)</w:t>
            </w:r>
          </w:p>
        </w:tc>
      </w:tr>
      <w:tr>
        <w:tc>
          <w:tcPr>
            <w:tcW w:type="dxa" w:w="216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</w:rPr>
            </w:r>
            <w:r>
              <w:rPr>
                <w:rFonts w:ascii="Times New Roman" w:hAnsi="Times New Roman"/>
                <w:b w:val="0"/>
                <w:color w:val="000000"/>
                <w:sz w:val="16"/>
              </w:rPr>
              <w:t>Introduction - Background</w:t>
            </w:r>
          </w:p>
        </w:tc>
        <w:tc>
          <w:tcPr>
            <w:tcW w:type="dxa" w:w="86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</w:rPr>
            </w:r>
            <w:r>
              <w:rPr>
                <w:rFonts w:ascii="Times New Roman" w:hAnsi="Times New Roman"/>
                <w:b w:val="0"/>
                <w:color w:val="000000"/>
                <w:sz w:val="16"/>
              </w:rPr>
              <w:t>2</w:t>
            </w:r>
          </w:p>
        </w:tc>
        <w:tc>
          <w:tcPr>
            <w:tcW w:type="dxa" w:w="31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>
              <w:rPr>
                <w:rFonts w:ascii="Times New Roman" w:hAnsi="Times New Roman"/>
                <w:color w:val="000000"/>
              </w:rPr>
            </w:r>
            <w:r>
              <w:rPr>
                <w:rFonts w:ascii="Times New Roman" w:hAnsi="Times New Roman"/>
                <w:b w:val="0"/>
                <w:color w:val="000000"/>
                <w:sz w:val="16"/>
              </w:rPr>
              <w:t>Explain scientific background and rationale for investigation</w:t>
            </w:r>
          </w:p>
        </w:tc>
        <w:tc>
          <w:tcPr>
            <w:tcW w:type="dxa" w:w="561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>
              <w:rPr>
                <w:rFonts w:ascii="Times New Roman" w:hAnsi="Times New Roman"/>
                <w:color w:val="000000"/>
              </w:rPr>
            </w:r>
            <w:r>
              <w:rPr>
                <w:rFonts w:ascii="Times New Roman" w:hAnsi="Times New Roman"/>
                <w:b w:val="0"/>
                <w:color w:val="000000"/>
                <w:sz w:val="16"/>
              </w:rPr>
              <w:t>Sections 1.1–1.3: Aggressive clinical trajectory and lack of targeted receptor therapies in TNBC; reliance on dense distal super-enhancers; mathematical proof that observational transcriptomic GRNs (GENIE3, SCENIC) suffer high false discovery rates (&gt;45% FDR) due to single-cell dropout zero-inflation; and necessity of interventional do-calculus and functional single-cell CRISPRi.</w:t>
            </w:r>
          </w:p>
        </w:tc>
        <w:tc>
          <w:tcPr>
            <w:tcW w:type="dxa" w:w="172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</w:rPr>
            </w:r>
            <w:r>
              <w:rPr>
                <w:rFonts w:ascii="Times New Roman" w:hAnsi="Times New Roman"/>
                <w:b w:val="0"/>
                <w:color w:val="000000"/>
                <w:sz w:val="16"/>
              </w:rPr>
              <w:t>Pages 2–4 (Sections 1.1–1.3)</w:t>
            </w:r>
          </w:p>
        </w:tc>
      </w:tr>
      <w:tr>
        <w:tc>
          <w:tcPr>
            <w:tcW w:type="dxa" w:w="216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</w:rPr>
            </w:r>
            <w:r>
              <w:rPr>
                <w:rFonts w:ascii="Times New Roman" w:hAnsi="Times New Roman"/>
                <w:b w:val="0"/>
                <w:color w:val="000000"/>
                <w:sz w:val="16"/>
              </w:rPr>
              <w:t>Introduction - Objectives</w:t>
            </w:r>
          </w:p>
        </w:tc>
        <w:tc>
          <w:tcPr>
            <w:tcW w:type="dxa" w:w="86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</w:rPr>
            </w:r>
            <w:r>
              <w:rPr>
                <w:rFonts w:ascii="Times New Roman" w:hAnsi="Times New Roman"/>
                <w:b w:val="0"/>
                <w:color w:val="000000"/>
                <w:sz w:val="16"/>
              </w:rPr>
              <w:t>3</w:t>
            </w:r>
          </w:p>
        </w:tc>
        <w:tc>
          <w:tcPr>
            <w:tcW w:type="dxa" w:w="31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>
              <w:rPr>
                <w:rFonts w:ascii="Times New Roman" w:hAnsi="Times New Roman"/>
                <w:color w:val="000000"/>
              </w:rPr>
            </w:r>
            <w:r>
              <w:rPr>
                <w:rFonts w:ascii="Times New Roman" w:hAnsi="Times New Roman"/>
                <w:b w:val="0"/>
                <w:color w:val="000000"/>
                <w:sz w:val="16"/>
              </w:rPr>
              <w:t>State specific objectives, including any prespecified hypotheses</w:t>
            </w:r>
          </w:p>
        </w:tc>
        <w:tc>
          <w:tcPr>
            <w:tcW w:type="dxa" w:w="561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>
              <w:rPr>
                <w:rFonts w:ascii="Times New Roman" w:hAnsi="Times New Roman"/>
                <w:color w:val="000000"/>
              </w:rPr>
            </w:r>
            <w:r>
              <w:rPr>
                <w:rFonts w:ascii="Times New Roman" w:hAnsi="Times New Roman"/>
                <w:b w:val="0"/>
                <w:color w:val="000000"/>
                <w:sz w:val="16"/>
              </w:rPr>
              <w:t>Section 1.4: Defines 6 primary investigative objectives: (i) construct tripartite causal GRN (TF → Enhancer → Target Gene); (ii) prioritize master drivers via PageRank and MRS; (iii) decode non-linear cooperativity via Explainable AI (SHAP); (iv) benchmark against state-of-the-art GRN algorithms; (v) validate clinical prognosis in independent patient cohorts; and (vi) map synergistic epigenetic combination therapies.</w:t>
            </w:r>
          </w:p>
        </w:tc>
        <w:tc>
          <w:tcPr>
            <w:tcW w:type="dxa" w:w="172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</w:rPr>
            </w:r>
            <w:r>
              <w:rPr>
                <w:rFonts w:ascii="Times New Roman" w:hAnsi="Times New Roman"/>
                <w:b w:val="0"/>
                <w:color w:val="000000"/>
                <w:sz w:val="16"/>
              </w:rPr>
              <w:t>Page 4 (Section 1.4)</w:t>
            </w:r>
          </w:p>
        </w:tc>
      </w:tr>
      <w:tr>
        <w:tc>
          <w:tcPr>
            <w:tcW w:type="dxa" w:w="216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</w:rPr>
            </w:r>
            <w:r>
              <w:rPr>
                <w:rFonts w:ascii="Times New Roman" w:hAnsi="Times New Roman"/>
                <w:b w:val="0"/>
                <w:color w:val="000000"/>
                <w:sz w:val="16"/>
              </w:rPr>
              <w:t>Methods - Study Design</w:t>
            </w:r>
          </w:p>
        </w:tc>
        <w:tc>
          <w:tcPr>
            <w:tcW w:type="dxa" w:w="86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</w:rPr>
            </w:r>
            <w:r>
              <w:rPr>
                <w:rFonts w:ascii="Times New Roman" w:hAnsi="Times New Roman"/>
                <w:b w:val="0"/>
                <w:color w:val="000000"/>
                <w:sz w:val="16"/>
              </w:rPr>
              <w:t>4</w:t>
            </w:r>
          </w:p>
        </w:tc>
        <w:tc>
          <w:tcPr>
            <w:tcW w:type="dxa" w:w="31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>
              <w:rPr>
                <w:rFonts w:ascii="Times New Roman" w:hAnsi="Times New Roman"/>
                <w:color w:val="000000"/>
              </w:rPr>
            </w:r>
            <w:r>
              <w:rPr>
                <w:rFonts w:ascii="Times New Roman" w:hAnsi="Times New Roman"/>
                <w:b w:val="0"/>
                <w:color w:val="000000"/>
                <w:sz w:val="16"/>
              </w:rPr>
              <w:t>Present key elements of study design early in the paper</w:t>
            </w:r>
          </w:p>
        </w:tc>
        <w:tc>
          <w:tcPr>
            <w:tcW w:type="dxa" w:w="561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>
              <w:rPr>
                <w:rFonts w:ascii="Times New Roman" w:hAnsi="Times New Roman"/>
                <w:color w:val="000000"/>
              </w:rPr>
            </w:r>
            <w:r>
              <w:rPr>
                <w:rFonts w:ascii="Times New Roman" w:hAnsi="Times New Roman"/>
                <w:b w:val="0"/>
                <w:color w:val="000000"/>
                <w:sz w:val="16"/>
              </w:rPr>
              <w:t>Sections 2.1–2.4: Comprehensive end-to-end causal machine learning workflow uniting physical chromatin occupancy (ENCODE Factorbook ChIP-seq) with randomized interventional perturbation responses (single-cell CRISPRi / dCas9-KRAB).</w:t>
            </w:r>
          </w:p>
        </w:tc>
        <w:tc>
          <w:tcPr>
            <w:tcW w:type="dxa" w:w="172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</w:rPr>
            </w:r>
            <w:r>
              <w:rPr>
                <w:rFonts w:ascii="Times New Roman" w:hAnsi="Times New Roman"/>
                <w:b w:val="0"/>
                <w:color w:val="000000"/>
                <w:sz w:val="16"/>
              </w:rPr>
              <w:t>Pages 4–6 (Sections 2.1–2.4)</w:t>
            </w:r>
          </w:p>
        </w:tc>
      </w:tr>
      <w:tr>
        <w:tc>
          <w:tcPr>
            <w:tcW w:type="dxa" w:w="216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</w:rPr>
            </w:r>
            <w:r>
              <w:rPr>
                <w:rFonts w:ascii="Times New Roman" w:hAnsi="Times New Roman"/>
                <w:b w:val="0"/>
                <w:color w:val="000000"/>
                <w:sz w:val="16"/>
              </w:rPr>
              <w:t>Methods - Setting</w:t>
            </w:r>
          </w:p>
        </w:tc>
        <w:tc>
          <w:tcPr>
            <w:tcW w:type="dxa" w:w="86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</w:rPr>
            </w:r>
            <w:r>
              <w:rPr>
                <w:rFonts w:ascii="Times New Roman" w:hAnsi="Times New Roman"/>
                <w:b w:val="0"/>
                <w:color w:val="000000"/>
                <w:sz w:val="16"/>
              </w:rPr>
              <w:t>5</w:t>
            </w:r>
          </w:p>
        </w:tc>
        <w:tc>
          <w:tcPr>
            <w:tcW w:type="dxa" w:w="31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>
              <w:rPr>
                <w:rFonts w:ascii="Times New Roman" w:hAnsi="Times New Roman"/>
                <w:color w:val="000000"/>
              </w:rPr>
            </w:r>
            <w:r>
              <w:rPr>
                <w:rFonts w:ascii="Times New Roman" w:hAnsi="Times New Roman"/>
                <w:b w:val="0"/>
                <w:color w:val="000000"/>
                <w:sz w:val="16"/>
              </w:rPr>
              <w:t>Describe setting, locations, relevant dates, exposure periods</w:t>
            </w:r>
          </w:p>
        </w:tc>
        <w:tc>
          <w:tcPr>
            <w:tcW w:type="dxa" w:w="561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>
              <w:rPr>
                <w:rFonts w:ascii="Times New Roman" w:hAnsi="Times New Roman"/>
                <w:color w:val="000000"/>
              </w:rPr>
            </w:r>
            <w:r>
              <w:rPr>
                <w:rFonts w:ascii="Times New Roman" w:hAnsi="Times New Roman"/>
                <w:b w:val="0"/>
                <w:color w:val="000000"/>
                <w:sz w:val="16"/>
              </w:rPr>
              <w:t>Section 2.1: Preclinical cellular model MDA-MB-231 (human mesenchymal basal-like TNBC); genome-scale single-cell CRISPRi Perturb-seq screen across 8 independent 10x Genomics Chromium 3' sequencing lanes (GEO accession GSE224986).</w:t>
            </w:r>
          </w:p>
        </w:tc>
        <w:tc>
          <w:tcPr>
            <w:tcW w:type="dxa" w:w="172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</w:rPr>
            </w:r>
            <w:r>
              <w:rPr>
                <w:rFonts w:ascii="Times New Roman" w:hAnsi="Times New Roman"/>
                <w:b w:val="0"/>
                <w:color w:val="000000"/>
                <w:sz w:val="16"/>
              </w:rPr>
              <w:t>Pages 4–5 (Section 2.1)</w:t>
            </w:r>
          </w:p>
        </w:tc>
      </w:tr>
      <w:tr>
        <w:tc>
          <w:tcPr>
            <w:tcW w:type="dxa" w:w="216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</w:rPr>
            </w:r>
            <w:r>
              <w:rPr>
                <w:rFonts w:ascii="Times New Roman" w:hAnsi="Times New Roman"/>
                <w:b w:val="0"/>
                <w:color w:val="000000"/>
                <w:sz w:val="16"/>
              </w:rPr>
              <w:t>Methods - Participants / Cells</w:t>
            </w:r>
          </w:p>
        </w:tc>
        <w:tc>
          <w:tcPr>
            <w:tcW w:type="dxa" w:w="86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</w:rPr>
            </w:r>
            <w:r>
              <w:rPr>
                <w:rFonts w:ascii="Times New Roman" w:hAnsi="Times New Roman"/>
                <w:b w:val="0"/>
                <w:color w:val="000000"/>
                <w:sz w:val="16"/>
              </w:rPr>
              <w:t>6a</w:t>
            </w:r>
          </w:p>
        </w:tc>
        <w:tc>
          <w:tcPr>
            <w:tcW w:type="dxa" w:w="31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>
              <w:rPr>
                <w:rFonts w:ascii="Times New Roman" w:hAnsi="Times New Roman"/>
                <w:color w:val="000000"/>
              </w:rPr>
            </w:r>
            <w:r>
              <w:rPr>
                <w:rFonts w:ascii="Times New Roman" w:hAnsi="Times New Roman"/>
                <w:b w:val="0"/>
                <w:color w:val="000000"/>
                <w:sz w:val="16"/>
              </w:rPr>
              <w:t>Give eligibility criteria, sources, and selection methods</w:t>
            </w:r>
          </w:p>
        </w:tc>
        <w:tc>
          <w:tcPr>
            <w:tcW w:type="dxa" w:w="561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>
              <w:rPr>
                <w:rFonts w:ascii="Times New Roman" w:hAnsi="Times New Roman"/>
                <w:color w:val="000000"/>
              </w:rPr>
            </w:r>
            <w:r>
              <w:rPr>
                <w:rFonts w:ascii="Times New Roman" w:hAnsi="Times New Roman"/>
                <w:b w:val="0"/>
                <w:color w:val="000000"/>
                <w:sz w:val="16"/>
              </w:rPr>
              <w:t>Section 2.1: Stringent single-cell quality control thresholds: cells retaining &gt;= 200 detected genes and &lt;= 15% mitochondrial reads; genes expressed in &gt;= 3 cells; resulting in 95,678 high-quality single cells and 32,799 reliably expressed gene features.</w:t>
            </w:r>
          </w:p>
        </w:tc>
        <w:tc>
          <w:tcPr>
            <w:tcW w:type="dxa" w:w="172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</w:rPr>
            </w:r>
            <w:r>
              <w:rPr>
                <w:rFonts w:ascii="Times New Roman" w:hAnsi="Times New Roman"/>
                <w:b w:val="0"/>
                <w:color w:val="000000"/>
                <w:sz w:val="16"/>
              </w:rPr>
              <w:t>Pages 4–5, 8–10 (Section 2.1; Table 1; Figure 1)</w:t>
            </w:r>
          </w:p>
        </w:tc>
      </w:tr>
      <w:tr>
        <w:tc>
          <w:tcPr>
            <w:tcW w:type="dxa" w:w="216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</w:rPr>
            </w:r>
            <w:r>
              <w:rPr>
                <w:rFonts w:ascii="Times New Roman" w:hAnsi="Times New Roman"/>
                <w:b w:val="0"/>
                <w:color w:val="000000"/>
                <w:sz w:val="16"/>
              </w:rPr>
              <w:t>Methods - Variables</w:t>
            </w:r>
          </w:p>
        </w:tc>
        <w:tc>
          <w:tcPr>
            <w:tcW w:type="dxa" w:w="86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</w:rPr>
            </w:r>
            <w:r>
              <w:rPr>
                <w:rFonts w:ascii="Times New Roman" w:hAnsi="Times New Roman"/>
                <w:b w:val="0"/>
                <w:color w:val="000000"/>
                <w:sz w:val="16"/>
              </w:rPr>
              <w:t>7</w:t>
            </w:r>
          </w:p>
        </w:tc>
        <w:tc>
          <w:tcPr>
            <w:tcW w:type="dxa" w:w="31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>
              <w:rPr>
                <w:rFonts w:ascii="Times New Roman" w:hAnsi="Times New Roman"/>
                <w:color w:val="000000"/>
              </w:rPr>
            </w:r>
            <w:r>
              <w:rPr>
                <w:rFonts w:ascii="Times New Roman" w:hAnsi="Times New Roman"/>
                <w:b w:val="0"/>
                <w:color w:val="000000"/>
                <w:sz w:val="16"/>
              </w:rPr>
              <w:t>Clearly define all outcomes, exposures, predictors, confounders</w:t>
            </w:r>
          </w:p>
        </w:tc>
        <w:tc>
          <w:tcPr>
            <w:tcW w:type="dxa" w:w="561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>
              <w:rPr>
                <w:rFonts w:ascii="Times New Roman" w:hAnsi="Times New Roman"/>
                <w:color w:val="000000"/>
              </w:rPr>
            </w:r>
            <w:r>
              <w:rPr>
                <w:rFonts w:ascii="Times New Roman" w:hAnsi="Times New Roman"/>
                <w:b w:val="0"/>
                <w:color w:val="000000"/>
                <w:sz w:val="16"/>
              </w:rPr>
              <w:t>Sections 2.1–2.4: Exposure = targeted dCas9-KRAB single-guide enhancer silencing (819 somatic mutation loci); Outcome = log2 fold change and Welch t-statistic of downstream target genes; Predictors = ChIP peak confidence score C_ChIP(i, e) in [0, 1000] and causal weight W_causal; Potential Confounders = technical dropout zeros, 10x sequencing lane batches, and multi-guide epistatic crosstalk.</w:t>
            </w:r>
          </w:p>
        </w:tc>
        <w:tc>
          <w:tcPr>
            <w:tcW w:type="dxa" w:w="172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</w:rPr>
            </w:r>
            <w:r>
              <w:rPr>
                <w:rFonts w:ascii="Times New Roman" w:hAnsi="Times New Roman"/>
                <w:b w:val="0"/>
                <w:color w:val="000000"/>
                <w:sz w:val="16"/>
              </w:rPr>
              <w:t>Pages 4–6 (Sections 2.1, 2.3, 2.4; Table 1)</w:t>
            </w:r>
          </w:p>
        </w:tc>
      </w:tr>
      <w:tr>
        <w:tc>
          <w:tcPr>
            <w:tcW w:type="dxa" w:w="216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</w:rPr>
            </w:r>
            <w:r>
              <w:rPr>
                <w:rFonts w:ascii="Times New Roman" w:hAnsi="Times New Roman"/>
                <w:b w:val="0"/>
                <w:color w:val="000000"/>
                <w:sz w:val="16"/>
              </w:rPr>
              <w:t>Methods - Data Sources</w:t>
            </w:r>
          </w:p>
        </w:tc>
        <w:tc>
          <w:tcPr>
            <w:tcW w:type="dxa" w:w="86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</w:rPr>
            </w:r>
            <w:r>
              <w:rPr>
                <w:rFonts w:ascii="Times New Roman" w:hAnsi="Times New Roman"/>
                <w:b w:val="0"/>
                <w:color w:val="000000"/>
                <w:sz w:val="16"/>
              </w:rPr>
              <w:t>8</w:t>
            </w:r>
          </w:p>
        </w:tc>
        <w:tc>
          <w:tcPr>
            <w:tcW w:type="dxa" w:w="31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>
              <w:rPr>
                <w:rFonts w:ascii="Times New Roman" w:hAnsi="Times New Roman"/>
                <w:color w:val="000000"/>
              </w:rPr>
            </w:r>
            <w:r>
              <w:rPr>
                <w:rFonts w:ascii="Times New Roman" w:hAnsi="Times New Roman"/>
                <w:b w:val="0"/>
                <w:color w:val="000000"/>
                <w:sz w:val="16"/>
              </w:rPr>
              <w:t>Give sources of data and details of measurement methods</w:t>
            </w:r>
          </w:p>
        </w:tc>
        <w:tc>
          <w:tcPr>
            <w:tcW w:type="dxa" w:w="561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>
              <w:rPr>
                <w:rFonts w:ascii="Times New Roman" w:hAnsi="Times New Roman"/>
                <w:color w:val="000000"/>
              </w:rPr>
            </w:r>
            <w:r>
              <w:rPr>
                <w:rFonts w:ascii="Times New Roman" w:hAnsi="Times New Roman"/>
                <w:b w:val="0"/>
                <w:color w:val="000000"/>
                <w:sz w:val="16"/>
              </w:rPr>
              <w:t>Sections 2.1, 2.2, 2.7, 5: GEO GSE224986 (Perturb-seq), GEO GSE223812 (enhancer coordinates), ENCODE Factorbook / UCSC encRegTfbsClustered (ChIP-seq priors across 340 TFs), TCGA-BRCA (n = 160 TNBC) and METABRIC (n = 320 TNBC) clinical cohorts, and DGIdb/ChEMBL/ClinicalTrials.gov for therapeutics.</w:t>
            </w:r>
          </w:p>
        </w:tc>
        <w:tc>
          <w:tcPr>
            <w:tcW w:type="dxa" w:w="172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color w:val="000000"/>
              </w:rPr>
              <w:t>Pages 4–8, 26 (Sections 2.1–2.7, Section 5)</w:t>
            </w:r>
          </w:p>
        </w:tc>
      </w:tr>
      <w:tr>
        <w:tc>
          <w:tcPr>
            <w:tcW w:type="dxa" w:w="216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</w:rPr>
            </w:r>
            <w:r>
              <w:rPr>
                <w:rFonts w:ascii="Times New Roman" w:hAnsi="Times New Roman"/>
                <w:b w:val="0"/>
                <w:color w:val="000000"/>
                <w:sz w:val="16"/>
              </w:rPr>
              <w:t>Methods - Bias Control</w:t>
            </w:r>
          </w:p>
        </w:tc>
        <w:tc>
          <w:tcPr>
            <w:tcW w:type="dxa" w:w="86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</w:rPr>
            </w:r>
            <w:r>
              <w:rPr>
                <w:rFonts w:ascii="Times New Roman" w:hAnsi="Times New Roman"/>
                <w:b w:val="0"/>
                <w:color w:val="000000"/>
                <w:sz w:val="16"/>
              </w:rPr>
              <w:t>9</w:t>
            </w:r>
          </w:p>
        </w:tc>
        <w:tc>
          <w:tcPr>
            <w:tcW w:type="dxa" w:w="31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>
              <w:rPr>
                <w:rFonts w:ascii="Times New Roman" w:hAnsi="Times New Roman"/>
                <w:color w:val="000000"/>
              </w:rPr>
            </w:r>
            <w:r>
              <w:rPr>
                <w:rFonts w:ascii="Times New Roman" w:hAnsi="Times New Roman"/>
                <w:b w:val="0"/>
                <w:color w:val="000000"/>
                <w:sz w:val="16"/>
              </w:rPr>
              <w:t>Describe any efforts to address potential sources of bias</w:t>
            </w:r>
          </w:p>
        </w:tc>
        <w:tc>
          <w:tcPr>
            <w:tcW w:type="dxa" w:w="561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>
              <w:rPr>
                <w:rFonts w:ascii="Times New Roman" w:hAnsi="Times New Roman"/>
                <w:color w:val="000000"/>
              </w:rPr>
            </w:r>
            <w:r>
              <w:rPr>
                <w:rFonts w:ascii="Times New Roman" w:hAnsi="Times New Roman"/>
                <w:b w:val="0"/>
                <w:color w:val="000000"/>
                <w:sz w:val="16"/>
              </w:rPr>
              <w:t>Sections 2.1, 2.4, 4.1: Unconfounded causal identifiability enforced by evaluating single-guide perturbation cells (n = 3,930) strictly against unperturbed negative-control cells (n = 7,767), breaking multi-guide epistatic confounding; observational dropout zeros overcome by requiring physical ChIP-seq binding priors; lane batch effects controlled; acyclicity misspecification avoided by modeling multigraph topology rather than global continuous DAG inversion (Section 4.1).</w:t>
            </w:r>
          </w:p>
        </w:tc>
        <w:tc>
          <w:tcPr>
            <w:tcW w:type="dxa" w:w="172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</w:rPr>
            </w:r>
            <w:r>
              <w:rPr>
                <w:rFonts w:ascii="Times New Roman" w:hAnsi="Times New Roman"/>
                <w:b w:val="0"/>
                <w:color w:val="000000"/>
                <w:sz w:val="16"/>
              </w:rPr>
              <w:t>Pages 4–6, 18–19 (Sections 2.1, 2.4, 4.1; Supplementary Note 2)</w:t>
            </w:r>
          </w:p>
        </w:tc>
      </w:tr>
      <w:tr>
        <w:tc>
          <w:tcPr>
            <w:tcW w:type="dxa" w:w="216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</w:rPr>
            </w:r>
            <w:r>
              <w:rPr>
                <w:rFonts w:ascii="Times New Roman" w:hAnsi="Times New Roman"/>
                <w:b w:val="0"/>
                <w:color w:val="000000"/>
                <w:sz w:val="16"/>
              </w:rPr>
              <w:t>Methods - Study Size</w:t>
            </w:r>
          </w:p>
        </w:tc>
        <w:tc>
          <w:tcPr>
            <w:tcW w:type="dxa" w:w="86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</w:rPr>
            </w:r>
            <w:r>
              <w:rPr>
                <w:rFonts w:ascii="Times New Roman" w:hAnsi="Times New Roman"/>
                <w:b w:val="0"/>
                <w:color w:val="000000"/>
                <w:sz w:val="16"/>
              </w:rPr>
              <w:t>10</w:t>
            </w:r>
          </w:p>
        </w:tc>
        <w:tc>
          <w:tcPr>
            <w:tcW w:type="dxa" w:w="31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>
              <w:rPr>
                <w:rFonts w:ascii="Times New Roman" w:hAnsi="Times New Roman"/>
                <w:color w:val="000000"/>
              </w:rPr>
            </w:r>
            <w:r>
              <w:rPr>
                <w:rFonts w:ascii="Times New Roman" w:hAnsi="Times New Roman"/>
                <w:b w:val="0"/>
                <w:color w:val="000000"/>
                <w:sz w:val="16"/>
              </w:rPr>
              <w:t>Explain how study size was arrived at</w:t>
            </w:r>
          </w:p>
        </w:tc>
        <w:tc>
          <w:tcPr>
            <w:tcW w:type="dxa" w:w="561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>
              <w:rPr>
                <w:rFonts w:ascii="Times New Roman" w:hAnsi="Times New Roman"/>
                <w:color w:val="000000"/>
              </w:rPr>
            </w:r>
            <w:r>
              <w:rPr>
                <w:rFonts w:ascii="Times New Roman" w:hAnsi="Times New Roman"/>
                <w:b w:val="0"/>
                <w:color w:val="000000"/>
                <w:sz w:val="16"/>
              </w:rPr>
              <w:t>Section 2.1: Complete experimental library of 95,678 single cells, 11,975 unique sgRNAs, 819 targeted super-enhancers, and 32,799 gene features; stratified into single-guide (n = 3,930), multi-guide (n = 83,981), and negative control (n = 7,767) cohorts.</w:t>
            </w:r>
          </w:p>
        </w:tc>
        <w:tc>
          <w:tcPr>
            <w:tcW w:type="dxa" w:w="172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</w:rPr>
            </w:r>
            <w:r>
              <w:rPr>
                <w:rFonts w:ascii="Times New Roman" w:hAnsi="Times New Roman"/>
                <w:b w:val="0"/>
                <w:color w:val="000000"/>
                <w:sz w:val="16"/>
              </w:rPr>
              <w:t>Pages 4–5, 8–10 (Section 2.1; Table 1; Figure 1d)</w:t>
            </w:r>
          </w:p>
        </w:tc>
      </w:tr>
      <w:tr>
        <w:tc>
          <w:tcPr>
            <w:tcW w:type="dxa" w:w="216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</w:rPr>
            </w:r>
            <w:r>
              <w:rPr>
                <w:rFonts w:ascii="Times New Roman" w:hAnsi="Times New Roman"/>
                <w:b w:val="0"/>
                <w:color w:val="000000"/>
                <w:sz w:val="16"/>
              </w:rPr>
              <w:t>Methods - Quantitative Variables</w:t>
            </w:r>
          </w:p>
        </w:tc>
        <w:tc>
          <w:tcPr>
            <w:tcW w:type="dxa" w:w="86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</w:rPr>
            </w:r>
            <w:r>
              <w:rPr>
                <w:rFonts w:ascii="Times New Roman" w:hAnsi="Times New Roman"/>
                <w:b w:val="0"/>
                <w:color w:val="000000"/>
                <w:sz w:val="16"/>
              </w:rPr>
              <w:t>11</w:t>
            </w:r>
          </w:p>
        </w:tc>
        <w:tc>
          <w:tcPr>
            <w:tcW w:type="dxa" w:w="31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>
              <w:rPr>
                <w:rFonts w:ascii="Times New Roman" w:hAnsi="Times New Roman"/>
                <w:color w:val="000000"/>
              </w:rPr>
            </w:r>
            <w:r>
              <w:rPr>
                <w:rFonts w:ascii="Times New Roman" w:hAnsi="Times New Roman"/>
                <w:b w:val="0"/>
                <w:color w:val="000000"/>
                <w:sz w:val="16"/>
              </w:rPr>
              <w:t>Explain how quantitative variables were handled in analyses</w:t>
            </w:r>
          </w:p>
        </w:tc>
        <w:tc>
          <w:tcPr>
            <w:tcW w:type="dxa" w:w="561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>
              <w:rPr>
                <w:rFonts w:ascii="Times New Roman" w:hAnsi="Times New Roman"/>
                <w:color w:val="000000"/>
              </w:rPr>
            </w:r>
            <w:r>
              <w:rPr>
                <w:rFonts w:ascii="Times New Roman" w:hAnsi="Times New Roman"/>
                <w:b w:val="0"/>
                <w:color w:val="000000"/>
                <w:sz w:val="16"/>
              </w:rPr>
              <w:t>Sections 2.3–2.6: Library size normalization to 10,000 counts per cell (CP10k); log-transformation X_norm = ln(1 + CP10k); vectorized Welch t-statistic computation with Satterthwaite degrees of freedom ν; composite causal weight scaling W_causal = C_ChIP × |log2 FC| × |t|.</w:t>
            </w:r>
          </w:p>
        </w:tc>
        <w:tc>
          <w:tcPr>
            <w:tcW w:type="dxa" w:w="172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</w:rPr>
            </w:r>
            <w:r>
              <w:rPr>
                <w:rFonts w:ascii="Times New Roman" w:hAnsi="Times New Roman"/>
                <w:b w:val="0"/>
                <w:color w:val="000000"/>
                <w:sz w:val="16"/>
              </w:rPr>
              <w:t>Pages 5–6 (Sections 2.3, 2.4; Supplementary Notes 1, 3)</w:t>
            </w:r>
          </w:p>
        </w:tc>
      </w:tr>
      <w:tr>
        <w:tc>
          <w:tcPr>
            <w:tcW w:type="dxa" w:w="216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</w:rPr>
            </w:r>
            <w:r>
              <w:rPr>
                <w:rFonts w:ascii="Times New Roman" w:hAnsi="Times New Roman"/>
                <w:b w:val="0"/>
                <w:color w:val="000000"/>
                <w:sz w:val="16"/>
              </w:rPr>
              <w:t>Methods - Statistical Methods</w:t>
            </w:r>
          </w:p>
        </w:tc>
        <w:tc>
          <w:tcPr>
            <w:tcW w:type="dxa" w:w="86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</w:rPr>
            </w:r>
            <w:r>
              <w:rPr>
                <w:rFonts w:ascii="Times New Roman" w:hAnsi="Times New Roman"/>
                <w:b w:val="0"/>
                <w:color w:val="000000"/>
                <w:sz w:val="16"/>
              </w:rPr>
              <w:t>12a</w:t>
            </w:r>
          </w:p>
        </w:tc>
        <w:tc>
          <w:tcPr>
            <w:tcW w:type="dxa" w:w="31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>
              <w:rPr>
                <w:rFonts w:ascii="Times New Roman" w:hAnsi="Times New Roman"/>
                <w:color w:val="000000"/>
              </w:rPr>
            </w:r>
            <w:r>
              <w:rPr>
                <w:rFonts w:ascii="Times New Roman" w:hAnsi="Times New Roman"/>
                <w:b w:val="0"/>
                <w:color w:val="000000"/>
                <w:sz w:val="16"/>
              </w:rPr>
              <w:t>Describe all statistical methods, including confounder control</w:t>
            </w:r>
          </w:p>
        </w:tc>
        <w:tc>
          <w:tcPr>
            <w:tcW w:type="dxa" w:w="561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>
              <w:rPr>
                <w:rFonts w:ascii="Times New Roman" w:hAnsi="Times New Roman"/>
                <w:color w:val="000000"/>
              </w:rPr>
            </w:r>
            <w:r>
              <w:rPr>
                <w:rFonts w:ascii="Times New Roman" w:hAnsi="Times New Roman"/>
                <w:b w:val="0"/>
                <w:color w:val="000000"/>
                <w:sz w:val="16"/>
              </w:rPr>
              <w:t>Sections 2.3–2.7: Fast vectorized two-sample Welch t-test (Supplementary Note 3); Google PageRank graph centrality (damping factor α = 0.85; Supplementary Note 4); Gradient Boosted Decision Trees (XGBoost Regressor; 100 estimators, depth = 4); exact TreeExplainer SHAP attribution (Supplementary Note 5); multivariable Cox proportional hazards modeling adjusted for age, tumor stage, and nodal status.</w:t>
            </w:r>
          </w:p>
        </w:tc>
        <w:tc>
          <w:tcPr>
            <w:tcW w:type="dxa" w:w="172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</w:rPr>
            </w:r>
            <w:r>
              <w:rPr>
                <w:rFonts w:ascii="Times New Roman" w:hAnsi="Times New Roman"/>
                <w:b w:val="0"/>
                <w:color w:val="000000"/>
                <w:sz w:val="16"/>
              </w:rPr>
              <w:t>Pages 5–8 (Sections 2.3–2.7; Supplementary Notes 3–5)</w:t>
            </w:r>
          </w:p>
        </w:tc>
      </w:tr>
      <w:tr>
        <w:tc>
          <w:tcPr>
            <w:tcW w:type="dxa" w:w="216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</w:rPr>
            </w:r>
            <w:r>
              <w:rPr>
                <w:rFonts w:ascii="Times New Roman" w:hAnsi="Times New Roman"/>
                <w:b w:val="0"/>
                <w:color w:val="000000"/>
                <w:sz w:val="16"/>
              </w:rPr>
              <w:t>Methods - Subgroups &amp; Interactions</w:t>
            </w:r>
          </w:p>
        </w:tc>
        <w:tc>
          <w:tcPr>
            <w:tcW w:type="dxa" w:w="86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</w:rPr>
            </w:r>
            <w:r>
              <w:rPr>
                <w:rFonts w:ascii="Times New Roman" w:hAnsi="Times New Roman"/>
                <w:b w:val="0"/>
                <w:color w:val="000000"/>
                <w:sz w:val="16"/>
              </w:rPr>
              <w:t>12b</w:t>
            </w:r>
          </w:p>
        </w:tc>
        <w:tc>
          <w:tcPr>
            <w:tcW w:type="dxa" w:w="31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>
              <w:rPr>
                <w:rFonts w:ascii="Times New Roman" w:hAnsi="Times New Roman"/>
                <w:color w:val="000000"/>
              </w:rPr>
            </w:r>
            <w:r>
              <w:rPr>
                <w:rFonts w:ascii="Times New Roman" w:hAnsi="Times New Roman"/>
                <w:b w:val="0"/>
                <w:color w:val="000000"/>
                <w:sz w:val="16"/>
              </w:rPr>
              <w:t>Describe methods examining subgroups and interactions</w:t>
            </w:r>
          </w:p>
        </w:tc>
        <w:tc>
          <w:tcPr>
            <w:tcW w:type="dxa" w:w="561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>
              <w:rPr>
                <w:rFonts w:ascii="Times New Roman" w:hAnsi="Times New Roman"/>
                <w:color w:val="000000"/>
              </w:rPr>
            </w:r>
            <w:r>
              <w:rPr>
                <w:rFonts w:ascii="Times New Roman" w:hAnsi="Times New Roman"/>
                <w:b w:val="0"/>
                <w:color w:val="000000"/>
                <w:sz w:val="16"/>
              </w:rPr>
              <w:t>Sections 2.3, 2.8: Unsupervised Leiden community detection (resolution = 0.5) resolving 12 distinct phenotypic states (Clusters 0 to 11); multi-factor combinatorial epigenetic perturbation simulations (BETi + HATi + HDACi).</w:t>
            </w:r>
          </w:p>
        </w:tc>
        <w:tc>
          <w:tcPr>
            <w:tcW w:type="dxa" w:w="172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</w:rPr>
            </w:r>
            <w:r>
              <w:rPr>
                <w:rFonts w:ascii="Times New Roman" w:hAnsi="Times New Roman"/>
                <w:b w:val="0"/>
                <w:color w:val="000000"/>
                <w:sz w:val="16"/>
              </w:rPr>
              <w:t>Pages 5–6, 8, 17 (Sections 2.3, 2.8; Figures 1c, 8)</w:t>
            </w:r>
          </w:p>
        </w:tc>
      </w:tr>
      <w:tr>
        <w:tc>
          <w:tcPr>
            <w:tcW w:type="dxa" w:w="216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</w:rPr>
            </w:r>
            <w:r>
              <w:rPr>
                <w:rFonts w:ascii="Times New Roman" w:hAnsi="Times New Roman"/>
                <w:b w:val="0"/>
                <w:color w:val="000000"/>
                <w:sz w:val="16"/>
              </w:rPr>
              <w:t>Methods - Missing Data Handling</w:t>
            </w:r>
          </w:p>
        </w:tc>
        <w:tc>
          <w:tcPr>
            <w:tcW w:type="dxa" w:w="86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</w:rPr>
            </w:r>
            <w:r>
              <w:rPr>
                <w:rFonts w:ascii="Times New Roman" w:hAnsi="Times New Roman"/>
                <w:b w:val="0"/>
                <w:color w:val="000000"/>
                <w:sz w:val="16"/>
              </w:rPr>
              <w:t>12c</w:t>
            </w:r>
          </w:p>
        </w:tc>
        <w:tc>
          <w:tcPr>
            <w:tcW w:type="dxa" w:w="31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>
              <w:rPr>
                <w:rFonts w:ascii="Times New Roman" w:hAnsi="Times New Roman"/>
                <w:color w:val="000000"/>
              </w:rPr>
            </w:r>
            <w:r>
              <w:rPr>
                <w:rFonts w:ascii="Times New Roman" w:hAnsi="Times New Roman"/>
                <w:b w:val="0"/>
                <w:color w:val="000000"/>
                <w:sz w:val="16"/>
              </w:rPr>
              <w:t>Explain how missing data were addressed</w:t>
            </w:r>
          </w:p>
        </w:tc>
        <w:tc>
          <w:tcPr>
            <w:tcW w:type="dxa" w:w="561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>
              <w:rPr>
                <w:rFonts w:ascii="Times New Roman" w:hAnsi="Times New Roman"/>
                <w:color w:val="000000"/>
              </w:rPr>
            </w:r>
            <w:r>
              <w:rPr>
                <w:rFonts w:ascii="Times New Roman" w:hAnsi="Times New Roman"/>
                <w:b w:val="0"/>
                <w:color w:val="000000"/>
                <w:sz w:val="16"/>
              </w:rPr>
              <w:t>Sections 2.1, 2.4: Zero-inflation handled naturally via interventional differential testing without artificial expression imputation; chunked Compressed Sparse Row (CSR) matrix representation in h5py and AnnData.</w:t>
            </w:r>
          </w:p>
        </w:tc>
        <w:tc>
          <w:tcPr>
            <w:tcW w:type="dxa" w:w="172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</w:rPr>
            </w:r>
            <w:r>
              <w:rPr>
                <w:rFonts w:ascii="Times New Roman" w:hAnsi="Times New Roman"/>
                <w:b w:val="0"/>
                <w:color w:val="000000"/>
                <w:sz w:val="16"/>
              </w:rPr>
              <w:t>Pages 4–6 (Sections 2.1, 2.4)</w:t>
            </w:r>
          </w:p>
        </w:tc>
      </w:tr>
      <w:tr>
        <w:tc>
          <w:tcPr>
            <w:tcW w:type="dxa" w:w="216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</w:rPr>
            </w:r>
            <w:r>
              <w:rPr>
                <w:rFonts w:ascii="Times New Roman" w:hAnsi="Times New Roman"/>
                <w:b w:val="0"/>
                <w:color w:val="000000"/>
                <w:sz w:val="16"/>
              </w:rPr>
              <w:t>Methods - Sensitivity &amp; Cross-Validation</w:t>
            </w:r>
          </w:p>
        </w:tc>
        <w:tc>
          <w:tcPr>
            <w:tcW w:type="dxa" w:w="86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</w:rPr>
            </w:r>
            <w:r>
              <w:rPr>
                <w:rFonts w:ascii="Times New Roman" w:hAnsi="Times New Roman"/>
                <w:b w:val="0"/>
                <w:color w:val="000000"/>
                <w:sz w:val="16"/>
              </w:rPr>
              <w:t>12d</w:t>
            </w:r>
          </w:p>
        </w:tc>
        <w:tc>
          <w:tcPr>
            <w:tcW w:type="dxa" w:w="31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>
              <w:rPr>
                <w:rFonts w:ascii="Times New Roman" w:hAnsi="Times New Roman"/>
                <w:color w:val="000000"/>
              </w:rPr>
            </w:r>
            <w:r>
              <w:rPr>
                <w:rFonts w:ascii="Times New Roman" w:hAnsi="Times New Roman"/>
                <w:b w:val="0"/>
                <w:color w:val="000000"/>
                <w:sz w:val="16"/>
              </w:rPr>
              <w:t>Describe sensitivity analyses and cross-validation methods</w:t>
            </w:r>
          </w:p>
        </w:tc>
        <w:tc>
          <w:tcPr>
            <w:tcW w:type="dxa" w:w="561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>
              <w:rPr>
                <w:rFonts w:ascii="Times New Roman" w:hAnsi="Times New Roman"/>
                <w:color w:val="000000"/>
              </w:rPr>
            </w:r>
            <w:r>
              <w:rPr>
                <w:rFonts w:ascii="Times New Roman" w:hAnsi="Times New Roman"/>
                <w:b w:val="0"/>
                <w:color w:val="000000"/>
                <w:sz w:val="16"/>
              </w:rPr>
              <w:t>Sections 2.6, 2.7: 5-fold cross-validation in XGBoost models (test R² = 0.742); empirical held-out CRISPRi ground-truth testing across multiple effect size thresholds (|log2 FC| &gt;= 0.50, |t| &gt;= 3.0); in silico driver knockout validation across N = 864 target genes.</w:t>
            </w:r>
          </w:p>
        </w:tc>
        <w:tc>
          <w:tcPr>
            <w:tcW w:type="dxa" w:w="172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</w:rPr>
            </w:r>
            <w:r>
              <w:rPr>
                <w:rFonts w:ascii="Times New Roman" w:hAnsi="Times New Roman"/>
                <w:b w:val="0"/>
                <w:color w:val="000000"/>
                <w:sz w:val="16"/>
              </w:rPr>
              <w:t>Pages 7–8, 15–17 (Sections 2.6, 2.7, 3.7, 3.8; Table 6; Figure 7)</w:t>
            </w:r>
          </w:p>
        </w:tc>
      </w:tr>
      <w:tr>
        <w:tc>
          <w:tcPr>
            <w:tcW w:type="dxa" w:w="216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</w:rPr>
            </w:r>
            <w:r>
              <w:rPr>
                <w:rFonts w:ascii="Times New Roman" w:hAnsi="Times New Roman"/>
                <w:b w:val="0"/>
                <w:color w:val="000000"/>
                <w:sz w:val="16"/>
              </w:rPr>
              <w:t>Results - Participants / Cells</w:t>
            </w:r>
          </w:p>
        </w:tc>
        <w:tc>
          <w:tcPr>
            <w:tcW w:type="dxa" w:w="86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</w:rPr>
            </w:r>
            <w:r>
              <w:rPr>
                <w:rFonts w:ascii="Times New Roman" w:hAnsi="Times New Roman"/>
                <w:b w:val="0"/>
                <w:color w:val="000000"/>
                <w:sz w:val="16"/>
              </w:rPr>
              <w:t>13a</w:t>
            </w:r>
          </w:p>
        </w:tc>
        <w:tc>
          <w:tcPr>
            <w:tcW w:type="dxa" w:w="31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>
              <w:rPr>
                <w:rFonts w:ascii="Times New Roman" w:hAnsi="Times New Roman"/>
                <w:color w:val="000000"/>
              </w:rPr>
            </w:r>
            <w:r>
              <w:rPr>
                <w:rFonts w:ascii="Times New Roman" w:hAnsi="Times New Roman"/>
                <w:b w:val="0"/>
                <w:color w:val="000000"/>
                <w:sz w:val="16"/>
              </w:rPr>
              <w:t>Report numbers of individuals/cells at each stage of study</w:t>
            </w:r>
          </w:p>
        </w:tc>
        <w:tc>
          <w:tcPr>
            <w:tcW w:type="dxa" w:w="561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>
              <w:rPr>
                <w:rFonts w:ascii="Times New Roman" w:hAnsi="Times New Roman"/>
                <w:color w:val="000000"/>
              </w:rPr>
            </w:r>
            <w:r>
              <w:rPr>
                <w:rFonts w:ascii="Times New Roman" w:hAnsi="Times New Roman"/>
                <w:b w:val="0"/>
                <w:color w:val="000000"/>
                <w:sz w:val="16"/>
              </w:rPr>
              <w:t>Section 3.1: 95,678 single cells evaluated post-QC; 32,799 expressing genes; stratified across 12 Leiden clusters and 8 experimental sequencing lanes; 3,930 single-guide cells, 83,981 multi-guide cells, 7,767 negative-control cells.</w:t>
            </w:r>
          </w:p>
        </w:tc>
        <w:tc>
          <w:tcPr>
            <w:tcW w:type="dxa" w:w="172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</w:rPr>
            </w:r>
            <w:r>
              <w:rPr>
                <w:rFonts w:ascii="Times New Roman" w:hAnsi="Times New Roman"/>
                <w:b w:val="0"/>
                <w:color w:val="000000"/>
                <w:sz w:val="16"/>
              </w:rPr>
              <w:t>Pages 8–10 (Section 3.1; Table 1; Figure 1)</w:t>
            </w:r>
          </w:p>
        </w:tc>
      </w:tr>
      <w:tr>
        <w:tc>
          <w:tcPr>
            <w:tcW w:type="dxa" w:w="216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</w:rPr>
            </w:r>
            <w:r>
              <w:rPr>
                <w:rFonts w:ascii="Times New Roman" w:hAnsi="Times New Roman"/>
                <w:b w:val="0"/>
                <w:color w:val="000000"/>
                <w:sz w:val="16"/>
              </w:rPr>
              <w:t>Results - Descriptive Data</w:t>
            </w:r>
          </w:p>
        </w:tc>
        <w:tc>
          <w:tcPr>
            <w:tcW w:type="dxa" w:w="86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</w:rPr>
            </w:r>
            <w:r>
              <w:rPr>
                <w:rFonts w:ascii="Times New Roman" w:hAnsi="Times New Roman"/>
                <w:b w:val="0"/>
                <w:color w:val="000000"/>
                <w:sz w:val="16"/>
              </w:rPr>
              <w:t>14a</w:t>
            </w:r>
          </w:p>
        </w:tc>
        <w:tc>
          <w:tcPr>
            <w:tcW w:type="dxa" w:w="31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>
              <w:rPr>
                <w:rFonts w:ascii="Times New Roman" w:hAnsi="Times New Roman"/>
                <w:color w:val="000000"/>
              </w:rPr>
            </w:r>
            <w:r>
              <w:rPr>
                <w:rFonts w:ascii="Times New Roman" w:hAnsi="Times New Roman"/>
                <w:b w:val="0"/>
                <w:color w:val="000000"/>
                <w:sz w:val="16"/>
              </w:rPr>
              <w:t>Give characteristics of study participants/cells</w:t>
            </w:r>
          </w:p>
        </w:tc>
        <w:tc>
          <w:tcPr>
            <w:tcW w:type="dxa" w:w="561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>
              <w:rPr>
                <w:rFonts w:ascii="Times New Roman" w:hAnsi="Times New Roman"/>
                <w:color w:val="000000"/>
              </w:rPr>
            </w:r>
            <w:r>
              <w:rPr>
                <w:rFonts w:ascii="Times New Roman" w:hAnsi="Times New Roman"/>
                <w:b w:val="0"/>
                <w:color w:val="000000"/>
                <w:sz w:val="16"/>
              </w:rPr>
              <w:t>Section 3.1, Table 1, Figure 1: Median 6,519 UMIs per cell (Figure 1a); median 2,138 detected genes per cell (Figure 1b); 819 targeted super-enhancer loci across 11,975 sgRNAs.</w:t>
            </w:r>
          </w:p>
        </w:tc>
        <w:tc>
          <w:tcPr>
            <w:tcW w:type="dxa" w:w="172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</w:rPr>
            </w:r>
            <w:r>
              <w:rPr>
                <w:rFonts w:ascii="Times New Roman" w:hAnsi="Times New Roman"/>
                <w:b w:val="0"/>
                <w:color w:val="000000"/>
                <w:sz w:val="16"/>
              </w:rPr>
              <w:t>Pages 8–10 (Section 3.1; Table 1; Figure 1a–d)</w:t>
            </w:r>
          </w:p>
        </w:tc>
      </w:tr>
      <w:tr>
        <w:tc>
          <w:tcPr>
            <w:tcW w:type="dxa" w:w="216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</w:rPr>
            </w:r>
            <w:r>
              <w:rPr>
                <w:rFonts w:ascii="Times New Roman" w:hAnsi="Times New Roman"/>
                <w:b w:val="0"/>
                <w:color w:val="000000"/>
                <w:sz w:val="16"/>
              </w:rPr>
              <w:t>Results - Outcome Data</w:t>
            </w:r>
          </w:p>
        </w:tc>
        <w:tc>
          <w:tcPr>
            <w:tcW w:type="dxa" w:w="86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</w:rPr>
            </w:r>
            <w:r>
              <w:rPr>
                <w:rFonts w:ascii="Times New Roman" w:hAnsi="Times New Roman"/>
                <w:b w:val="0"/>
                <w:color w:val="000000"/>
                <w:sz w:val="16"/>
              </w:rPr>
              <w:t>15</w:t>
            </w:r>
          </w:p>
        </w:tc>
        <w:tc>
          <w:tcPr>
            <w:tcW w:type="dxa" w:w="31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>
              <w:rPr>
                <w:rFonts w:ascii="Times New Roman" w:hAnsi="Times New Roman"/>
                <w:color w:val="000000"/>
              </w:rPr>
            </w:r>
            <w:r>
              <w:rPr>
                <w:rFonts w:ascii="Times New Roman" w:hAnsi="Times New Roman"/>
                <w:b w:val="0"/>
                <w:color w:val="000000"/>
                <w:sz w:val="16"/>
              </w:rPr>
              <w:t>Report numbers of outcome events or summary measures</w:t>
            </w:r>
          </w:p>
        </w:tc>
        <w:tc>
          <w:tcPr>
            <w:tcW w:type="dxa" w:w="561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>
              <w:rPr>
                <w:rFonts w:ascii="Times New Roman" w:hAnsi="Times New Roman"/>
                <w:color w:val="000000"/>
              </w:rPr>
            </w:r>
            <w:r>
              <w:rPr>
                <w:rFonts w:ascii="Times New Roman" w:hAnsi="Times New Roman"/>
                <w:b w:val="0"/>
                <w:color w:val="000000"/>
                <w:sz w:val="16"/>
              </w:rPr>
              <w:t>Sections 3.2, 3.3: 15,059 physical TF–enhancer prior binding events across 161 unique TFs (Figure 2a; Table 2); 1,110,566 candidate interventional edges identified via vectorized Welch testing (Figure 3; Supplementary Data 2).</w:t>
            </w:r>
          </w:p>
        </w:tc>
        <w:tc>
          <w:tcPr>
            <w:tcW w:type="dxa" w:w="172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</w:rPr>
            </w:r>
            <w:r>
              <w:rPr>
                <w:rFonts w:ascii="Times New Roman" w:hAnsi="Times New Roman"/>
                <w:b w:val="0"/>
                <w:color w:val="000000"/>
                <w:sz w:val="16"/>
              </w:rPr>
              <w:t>Pages 10–11 (Sections 3.2, 3.3; Table 2; Figures 2, 3)</w:t>
            </w:r>
          </w:p>
        </w:tc>
      </w:tr>
      <w:tr>
        <w:tc>
          <w:tcPr>
            <w:tcW w:type="dxa" w:w="216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</w:rPr>
            </w:r>
            <w:r>
              <w:rPr>
                <w:rFonts w:ascii="Times New Roman" w:hAnsi="Times New Roman"/>
                <w:b w:val="0"/>
                <w:color w:val="000000"/>
                <w:sz w:val="16"/>
              </w:rPr>
              <w:t>Results - Main Findings</w:t>
            </w:r>
          </w:p>
        </w:tc>
        <w:tc>
          <w:tcPr>
            <w:tcW w:type="dxa" w:w="86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</w:rPr>
            </w:r>
            <w:r>
              <w:rPr>
                <w:rFonts w:ascii="Times New Roman" w:hAnsi="Times New Roman"/>
                <w:b w:val="0"/>
                <w:color w:val="000000"/>
                <w:sz w:val="16"/>
              </w:rPr>
              <w:t>16a</w:t>
            </w:r>
          </w:p>
        </w:tc>
        <w:tc>
          <w:tcPr>
            <w:tcW w:type="dxa" w:w="31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>
              <w:rPr>
                <w:rFonts w:ascii="Times New Roman" w:hAnsi="Times New Roman"/>
                <w:color w:val="000000"/>
              </w:rPr>
            </w:r>
            <w:r>
              <w:rPr>
                <w:rFonts w:ascii="Times New Roman" w:hAnsi="Times New Roman"/>
                <w:b w:val="0"/>
                <w:color w:val="000000"/>
                <w:sz w:val="16"/>
              </w:rPr>
              <w:t>Give unadjusted and adjusted effect estimates and precision</w:t>
            </w:r>
          </w:p>
        </w:tc>
        <w:tc>
          <w:tcPr>
            <w:tcW w:type="dxa" w:w="561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>
              <w:rPr>
                <w:rFonts w:ascii="Times New Roman" w:hAnsi="Times New Roman"/>
                <w:color w:val="000000"/>
              </w:rPr>
            </w:r>
            <w:r>
              <w:rPr>
                <w:rFonts w:ascii="Times New Roman" w:hAnsi="Times New Roman"/>
                <w:b w:val="0"/>
                <w:color w:val="000000"/>
                <w:sz w:val="16"/>
              </w:rPr>
              <w:t>Sections 3.4–3.6: Reconstructed 6,366,350 tripartite causal paths (Supplementary Data 3); prioritized master drivers: CTCF (118.7k edges, MRS = 0.986), POLR2A (110.5k, MRS = 0.983), EP300 (67.3k, MRS = 0.809), JUND (75.3k, MRS = 0.806), MYC (60.9k, MRS = 0.768), SIN3A, SP1, FOS, HDAC2, MAX (Tables 3, 4; Figures 4, 5); non-linear TreeExplainer SHAP attribution ranking JUND (0.0296) and MYC (0.0174) with threshold dynamics (Table 5; Figure 6).</w:t>
            </w:r>
          </w:p>
        </w:tc>
        <w:tc>
          <w:tcPr>
            <w:tcW w:type="dxa" w:w="172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</w:rPr>
            </w:r>
            <w:r>
              <w:rPr>
                <w:rFonts w:ascii="Times New Roman" w:hAnsi="Times New Roman"/>
                <w:b w:val="0"/>
                <w:color w:val="000000"/>
                <w:sz w:val="16"/>
              </w:rPr>
              <w:t>Pages 11–15 (Sections 3.4–3.6; Tables 3–5; Figures 4–6)</w:t>
            </w:r>
          </w:p>
        </w:tc>
      </w:tr>
      <w:tr>
        <w:tc>
          <w:tcPr>
            <w:tcW w:type="dxa" w:w="216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</w:rPr>
            </w:r>
            <w:r>
              <w:rPr>
                <w:rFonts w:ascii="Times New Roman" w:hAnsi="Times New Roman"/>
                <w:b w:val="0"/>
                <w:color w:val="000000"/>
                <w:sz w:val="16"/>
              </w:rPr>
              <w:t>Results - Benchmarking &amp; Validation</w:t>
            </w:r>
          </w:p>
        </w:tc>
        <w:tc>
          <w:tcPr>
            <w:tcW w:type="dxa" w:w="86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</w:rPr>
            </w:r>
            <w:r>
              <w:rPr>
                <w:rFonts w:ascii="Times New Roman" w:hAnsi="Times New Roman"/>
                <w:b w:val="0"/>
                <w:color w:val="000000"/>
                <w:sz w:val="16"/>
              </w:rPr>
              <w:t>17</w:t>
            </w:r>
          </w:p>
        </w:tc>
        <w:tc>
          <w:tcPr>
            <w:tcW w:type="dxa" w:w="31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>
              <w:rPr>
                <w:rFonts w:ascii="Times New Roman" w:hAnsi="Times New Roman"/>
                <w:color w:val="000000"/>
              </w:rPr>
            </w:r>
            <w:r>
              <w:rPr>
                <w:rFonts w:ascii="Times New Roman" w:hAnsi="Times New Roman"/>
                <w:b w:val="0"/>
                <w:color w:val="000000"/>
                <w:sz w:val="16"/>
              </w:rPr>
              <w:t>Report other analyses done (sensitivity, benchmarking, validation)</w:t>
            </w:r>
          </w:p>
        </w:tc>
        <w:tc>
          <w:tcPr>
            <w:tcW w:type="dxa" w:w="561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>
              <w:rPr>
                <w:rFonts w:ascii="Times New Roman" w:hAnsi="Times New Roman"/>
                <w:color w:val="000000"/>
              </w:rPr>
            </w:r>
            <w:r>
              <w:rPr>
                <w:rFonts w:ascii="Times New Roman" w:hAnsi="Times New Roman"/>
                <w:b w:val="0"/>
                <w:color w:val="000000"/>
                <w:sz w:val="16"/>
              </w:rPr>
              <w:t>Sections 3.7–3.9: Triangulated Causal ML achieved AUROC = 0.8999, AUPRC = 0.8745, Top 25% Precision = 0.9013, FDR = 0.0987 vs ChIP-seq alone (AUROC 0.8890 / AUPRC 0.7228 / FDR 0.2440), Co-expression (0.7292 / 0.6814 / 0.3227), and GENIE3 (0.6698 / 0.6323 / 0.3573) (Table 6; Figure 7a,b); in silico driver KO validation yielded Pearson r = 0.688, R² = 0.473 (p = 3.37 × 10⁻¹²², N = 864 genes; Figure 7c); clinical Cox survival modeling in TCGA-BRCA (n = 160) and METABRIC (n = 320) confirmed significant risk for JUND (HR = 1.88, p &lt; 0.001), MYC (HR = 1.74, p &lt; 0.001), FOS (HR = 1.62, p = 0.001), EP300 (HR = 1.45, p = 0.006), and MAX (HR = 1.36, p = 0.019) (Figure 7d); in silico combinatorial therapy demonstrated 93% network collapse under BETi + HATi + HDACi vs 38% under chemotherapy (Figure 8; Table 7).</w:t>
            </w:r>
          </w:p>
        </w:tc>
        <w:tc>
          <w:tcPr>
            <w:tcW w:type="dxa" w:w="172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</w:rPr>
            </w:r>
            <w:r>
              <w:rPr>
                <w:rFonts w:ascii="Times New Roman" w:hAnsi="Times New Roman"/>
                <w:b w:val="0"/>
                <w:color w:val="000000"/>
                <w:sz w:val="16"/>
              </w:rPr>
              <w:t>Pages 15–18 (Sections 3.7–3.9; Tables 6, 7; Figures 7, 8)</w:t>
            </w:r>
          </w:p>
        </w:tc>
      </w:tr>
      <w:tr>
        <w:tc>
          <w:tcPr>
            <w:tcW w:type="dxa" w:w="216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</w:rPr>
            </w:r>
            <w:r>
              <w:rPr>
                <w:rFonts w:ascii="Times New Roman" w:hAnsi="Times New Roman"/>
                <w:b w:val="0"/>
                <w:color w:val="000000"/>
                <w:sz w:val="16"/>
              </w:rPr>
              <w:t>Discussion - Key Results &amp; Conclusion</w:t>
            </w:r>
          </w:p>
        </w:tc>
        <w:tc>
          <w:tcPr>
            <w:tcW w:type="dxa" w:w="86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</w:rPr>
            </w:r>
            <w:r>
              <w:rPr>
                <w:rFonts w:ascii="Times New Roman" w:hAnsi="Times New Roman"/>
                <w:b w:val="0"/>
                <w:color w:val="000000"/>
                <w:sz w:val="16"/>
              </w:rPr>
              <w:t>18</w:t>
            </w:r>
          </w:p>
        </w:tc>
        <w:tc>
          <w:tcPr>
            <w:tcW w:type="dxa" w:w="31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>
              <w:rPr>
                <w:rFonts w:ascii="Times New Roman" w:hAnsi="Times New Roman"/>
                <w:color w:val="000000"/>
              </w:rPr>
            </w:r>
            <w:r>
              <w:rPr>
                <w:rFonts w:ascii="Times New Roman" w:hAnsi="Times New Roman"/>
                <w:b w:val="0"/>
                <w:color w:val="000000"/>
                <w:sz w:val="16"/>
              </w:rPr>
              <w:t>Summarize key results with reference to study objectives</w:t>
            </w:r>
          </w:p>
        </w:tc>
        <w:tc>
          <w:tcPr>
            <w:tcW w:type="dxa" w:w="561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color w:val="000000"/>
              </w:rPr>
              <w:t>Sections 4.1–4.4, Section 4.6 (Conclusion): Successfully triangulated 6.36M directed causal edges; resolved mathematical failure of observational GRNs (&gt;45% FDR); established Pearlian interventional identifiability; unmasked non-linear AP-1/MYC switch dynamics; in silico knockout validation (R² = 0.473); and formulated tri-modal epigenetic combination therapy (BETi + HATi + HDACi) collapsing 93.4% of oncogenic super-enhancers while de-repressing tumor suppressors.</w:t>
            </w:r>
          </w:p>
        </w:tc>
        <w:tc>
          <w:tcPr>
            <w:tcW w:type="dxa" w:w="172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color w:val="000000"/>
              </w:rPr>
              <w:t>Pages 21–26 (Sections 4.1–4.6)</w:t>
            </w:r>
          </w:p>
        </w:tc>
      </w:tr>
      <w:tr>
        <w:tc>
          <w:tcPr>
            <w:tcW w:type="dxa" w:w="216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</w:rPr>
            </w:r>
            <w:r>
              <w:rPr>
                <w:rFonts w:ascii="Times New Roman" w:hAnsi="Times New Roman"/>
                <w:b w:val="0"/>
                <w:color w:val="000000"/>
                <w:sz w:val="16"/>
              </w:rPr>
              <w:t>Discussion - Limitations</w:t>
            </w:r>
          </w:p>
        </w:tc>
        <w:tc>
          <w:tcPr>
            <w:tcW w:type="dxa" w:w="86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</w:rPr>
            </w:r>
            <w:r>
              <w:rPr>
                <w:rFonts w:ascii="Times New Roman" w:hAnsi="Times New Roman"/>
                <w:b w:val="0"/>
                <w:color w:val="000000"/>
                <w:sz w:val="16"/>
              </w:rPr>
              <w:t>19</w:t>
            </w:r>
          </w:p>
        </w:tc>
        <w:tc>
          <w:tcPr>
            <w:tcW w:type="dxa" w:w="31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>
              <w:rPr>
                <w:rFonts w:ascii="Times New Roman" w:hAnsi="Times New Roman"/>
                <w:color w:val="000000"/>
              </w:rPr>
            </w:r>
            <w:r>
              <w:rPr>
                <w:rFonts w:ascii="Times New Roman" w:hAnsi="Times New Roman"/>
                <w:b w:val="0"/>
                <w:color w:val="000000"/>
                <w:sz w:val="16"/>
              </w:rPr>
              <w:t>Discuss limitations of study (potential bias, imprecision)</w:t>
            </w:r>
          </w:p>
        </w:tc>
        <w:tc>
          <w:tcPr>
            <w:tcW w:type="dxa" w:w="561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>
              <w:rPr>
                <w:rFonts w:ascii="Times New Roman" w:hAnsi="Times New Roman"/>
                <w:color w:val="000000"/>
              </w:rPr>
            </w:r>
            <w:r>
              <w:rPr>
                <w:rFonts w:ascii="Times New Roman" w:hAnsi="Times New Roman"/>
                <w:b w:val="0"/>
                <w:color w:val="000000"/>
                <w:sz w:val="16"/>
              </w:rPr>
              <w:t>Section 4.5: Reliance on preclinical in vitro cell line (MDA-MB-231) requiring future expansion into patient-derived organoids (PDOs); targeted silencing of non-coding enhancers rather than direct genetic knockouts of upstream TF coding genes; absence of single-cell Hi-C/Micro-C 3D looping data; computational rather than in vivo clinical trial testing of combination regimens.</w:t>
            </w:r>
          </w:p>
        </w:tc>
        <w:tc>
          <w:tcPr>
            <w:tcW w:type="dxa" w:w="172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</w:rPr>
            </w:r>
            <w:r>
              <w:rPr>
                <w:rFonts w:ascii="Times New Roman" w:hAnsi="Times New Roman"/>
                <w:b w:val="0"/>
                <w:color w:val="000000"/>
                <w:sz w:val="16"/>
              </w:rPr>
              <w:t>Pages 20–21 (Section 4.5)</w:t>
            </w:r>
          </w:p>
        </w:tc>
      </w:tr>
      <w:tr>
        <w:tc>
          <w:tcPr>
            <w:tcW w:type="dxa" w:w="216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</w:rPr>
            </w:r>
            <w:r>
              <w:rPr>
                <w:rFonts w:ascii="Times New Roman" w:hAnsi="Times New Roman"/>
                <w:b w:val="0"/>
                <w:color w:val="000000"/>
                <w:sz w:val="16"/>
              </w:rPr>
              <w:t>Discussion - Interpretation</w:t>
            </w:r>
          </w:p>
        </w:tc>
        <w:tc>
          <w:tcPr>
            <w:tcW w:type="dxa" w:w="86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</w:rPr>
            </w:r>
            <w:r>
              <w:rPr>
                <w:rFonts w:ascii="Times New Roman" w:hAnsi="Times New Roman"/>
                <w:b w:val="0"/>
                <w:color w:val="000000"/>
                <w:sz w:val="16"/>
              </w:rPr>
              <w:t>20</w:t>
            </w:r>
          </w:p>
        </w:tc>
        <w:tc>
          <w:tcPr>
            <w:tcW w:type="dxa" w:w="31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>
              <w:rPr>
                <w:rFonts w:ascii="Times New Roman" w:hAnsi="Times New Roman"/>
                <w:color w:val="000000"/>
              </w:rPr>
            </w:r>
            <w:r>
              <w:rPr>
                <w:rFonts w:ascii="Times New Roman" w:hAnsi="Times New Roman"/>
                <w:b w:val="0"/>
                <w:color w:val="000000"/>
                <w:sz w:val="16"/>
              </w:rPr>
              <w:t>Give a cautious overall interpretation of results</w:t>
            </w:r>
          </w:p>
        </w:tc>
        <w:tc>
          <w:tcPr>
            <w:tcW w:type="dxa" w:w="561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color w:val="000000"/>
              </w:rPr>
              <w:t>Sections 4.2–4.4, Section 4.6 (Conclusion): Triangulating randomized Perturb-seq interventions with physical ChIP-seq priors provides a mathematically principled, biologically validated paradigm for discovering causal oncogenic drivers and designing rational epigenetic combination therapies.</w:t>
            </w:r>
          </w:p>
        </w:tc>
        <w:tc>
          <w:tcPr>
            <w:tcW w:type="dxa" w:w="172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Times New Roman" w:hAnsi="Times New Roman"/>
                <w:color w:val="000000"/>
              </w:rPr>
              <w:t>Pages 21–26 (Sections 4.2–4.6)</w:t>
            </w:r>
          </w:p>
        </w:tc>
      </w:tr>
      <w:tr>
        <w:tc>
          <w:tcPr>
            <w:tcW w:type="dxa" w:w="216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</w:rPr>
            </w:r>
            <w:r>
              <w:rPr>
                <w:rFonts w:ascii="Times New Roman" w:hAnsi="Times New Roman"/>
                <w:b w:val="0"/>
                <w:color w:val="000000"/>
                <w:sz w:val="16"/>
              </w:rPr>
              <w:t>Discussion - Generalisability</w:t>
            </w:r>
          </w:p>
        </w:tc>
        <w:tc>
          <w:tcPr>
            <w:tcW w:type="dxa" w:w="86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</w:rPr>
            </w:r>
            <w:r>
              <w:rPr>
                <w:rFonts w:ascii="Times New Roman" w:hAnsi="Times New Roman"/>
                <w:b w:val="0"/>
                <w:color w:val="000000"/>
                <w:sz w:val="16"/>
              </w:rPr>
              <w:t>21</w:t>
            </w:r>
          </w:p>
        </w:tc>
        <w:tc>
          <w:tcPr>
            <w:tcW w:type="dxa" w:w="31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>
              <w:rPr>
                <w:rFonts w:ascii="Times New Roman" w:hAnsi="Times New Roman"/>
                <w:color w:val="000000"/>
              </w:rPr>
            </w:r>
            <w:r>
              <w:rPr>
                <w:rFonts w:ascii="Times New Roman" w:hAnsi="Times New Roman"/>
                <w:b w:val="0"/>
                <w:color w:val="000000"/>
                <w:sz w:val="16"/>
              </w:rPr>
              <w:t>Discuss the generalisability (external validity) of study results</w:t>
            </w:r>
          </w:p>
        </w:tc>
        <w:tc>
          <w:tcPr>
            <w:tcW w:type="dxa" w:w="561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>
              <w:rPr>
                <w:rFonts w:ascii="Times New Roman" w:hAnsi="Times New Roman"/>
                <w:color w:val="000000"/>
              </w:rPr>
            </w:r>
            <w:r>
              <w:rPr>
                <w:rFonts w:ascii="Times New Roman" w:hAnsi="Times New Roman"/>
                <w:b w:val="0"/>
                <w:color w:val="000000"/>
                <w:sz w:val="16"/>
              </w:rPr>
              <w:t>Sections 4.4, 4.5: Demonstrates broad applicability of the causal triangulation framework across other treatment-refractory cancers characterized by super-enhancer addiction; clinical validation across independent patient cohorts (TCGA-BRCA, METABRIC) confirms prognostic generalisability beyond cell line models.</w:t>
            </w:r>
          </w:p>
        </w:tc>
        <w:tc>
          <w:tcPr>
            <w:tcW w:type="dxa" w:w="172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</w:rPr>
            </w:r>
            <w:r>
              <w:rPr>
                <w:rFonts w:ascii="Times New Roman" w:hAnsi="Times New Roman"/>
                <w:b w:val="0"/>
                <w:color w:val="000000"/>
                <w:sz w:val="16"/>
              </w:rPr>
              <w:t>Pages 20–21 (Sections 4.4, 4.5)</w:t>
            </w:r>
          </w:p>
        </w:tc>
      </w:tr>
      <w:tr>
        <w:tc>
          <w:tcPr>
            <w:tcW w:type="dxa" w:w="216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</w:rPr>
            </w:r>
            <w:r>
              <w:rPr>
                <w:rFonts w:ascii="Times New Roman" w:hAnsi="Times New Roman"/>
                <w:b w:val="0"/>
                <w:color w:val="000000"/>
                <w:sz w:val="16"/>
              </w:rPr>
              <w:t>Funding &amp; Data/Code Availability</w:t>
            </w:r>
          </w:p>
        </w:tc>
        <w:tc>
          <w:tcPr>
            <w:tcW w:type="dxa" w:w="86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</w:rPr>
            </w:r>
            <w:r>
              <w:rPr>
                <w:rFonts w:ascii="Times New Roman" w:hAnsi="Times New Roman"/>
                <w:b w:val="0"/>
                <w:color w:val="000000"/>
                <w:sz w:val="16"/>
              </w:rPr>
              <w:t>22</w:t>
            </w:r>
          </w:p>
        </w:tc>
        <w:tc>
          <w:tcPr>
            <w:tcW w:type="dxa" w:w="31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>
              <w:rPr>
                <w:rFonts w:ascii="Times New Roman" w:hAnsi="Times New Roman"/>
                <w:color w:val="000000"/>
              </w:rPr>
            </w:r>
            <w:r>
              <w:rPr>
                <w:rFonts w:ascii="Times New Roman" w:hAnsi="Times New Roman"/>
                <w:b w:val="0"/>
                <w:color w:val="000000"/>
                <w:sz w:val="16"/>
              </w:rPr>
              <w:t>Give source of funding, role of funders, and accessibility of data/code</w:t>
            </w:r>
          </w:p>
        </w:tc>
        <w:tc>
          <w:tcPr>
            <w:tcW w:type="dxa" w:w="561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both"/>
            </w:pPr>
            <w:r>
              <w:rPr>
                <w:rFonts w:ascii="Times New Roman" w:hAnsi="Times New Roman"/>
                <w:color w:val="000000"/>
              </w:rPr>
            </w:r>
            <w:r>
              <w:rPr>
                <w:rFonts w:ascii="Times New Roman" w:hAnsi="Times New Roman"/>
                <w:b w:val="0"/>
                <w:color w:val="000000"/>
                <w:sz w:val="16"/>
              </w:rPr>
              <w:t>Section 5 (Data and Code Availability) &amp; Declarations: Supported by National Science &amp; Technology (NST) Fellowship (2025–2026), Ministry of Science and Technology, Government of the People's Republic of Bangladesh (Awardee: Omar Faroque). All code, notebooks, and models are available under MIT License at https://github.com/Omarrfaroqueiu79/tnbc-causal-grn; Zenodo DOI: 10.5281/zenodo.10892345; GEO accessions GSE224986 and GSE223812.</w:t>
            </w:r>
          </w:p>
        </w:tc>
        <w:tc>
          <w:tcPr>
            <w:tcW w:type="dxa" w:w="172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</w:rPr>
            </w:r>
            <w:r>
              <w:rPr>
                <w:rFonts w:ascii="Times New Roman" w:hAnsi="Times New Roman"/>
                <w:b w:val="0"/>
                <w:color w:val="000000"/>
                <w:sz w:val="16"/>
              </w:rPr>
              <w:t>Pages 21–22 (Section 5 Data and Code Availability; Declarations)</w:t>
            </w:r>
          </w:p>
        </w:tc>
      </w:tr>
    </w:tbl>
    <w:p>
      <w:pPr>
        <w:spacing w:before="60" w:after="60" w:line="276" w:lineRule="auto"/>
        <w:jc w:val="both"/>
      </w:pPr>
      <w:r>
        <w:rPr>
          <w:rFonts w:ascii="Times New Roman" w:hAnsi="Times New Roman"/>
          <w:i/>
          <w:color w:val="000000"/>
          <w:sz w:val="19"/>
        </w:rPr>
        <w:t>Note: This checklist adheres to the STROBE (Strengthening the Reporting of Observational Studies in Epidemiology) guidelines adapted for molecular epidemiology, high-throughput single-cell functional genomics, and interventional causal discovery. All metrics, cohort dimensions, and experimental parameters strictly match the 30-page primary manuscript text, figures, tables, Section 4.6 (Conclusion), and Section 5 (Data and Code Availability).</w:t>
      </w:r>
    </w:p>
    <w:sectPr w:rsidR="00FC693F" w:rsidRPr="0006063C" w:rsidSect="00034616">
      <w:pgSz w:w="15840" w:h="12240" w:orient="landscape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