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Manuscript Tables</w:t>
      </w:r>
    </w:p>
    <w:p>
      <w:pPr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Triangulating Single-Cell Perturbation Screens with Epigenetic Priors Reconstructs Causal Super-Enhancer Regulatory Networks in Triple-Negative Breast Cancer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Omar Faroque¹, Mst. Homayra Jannaty¹, Shahriar Ahmed Abir², Suman Biswas¹*</w:t>
      </w:r>
    </w:p>
    <w:p>
      <w:pPr>
        <w:spacing w:before="0" w:after="32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19"/>
        </w:rPr>
        <w:t>¹ Department of Statistics, Faculty of Sciences, Islamic University, Kushtia-7003, Bangladesh</w:t>
        <w:br/>
        <w:t>² Department of Biotechnology and Genetic Engineering, Faculty of Biological Sciences, Islamic University, Kushtia-7003, Bangladesh</w:t>
        <w:br/>
        <w:t>* Corresponding Author: suman@stat.iu.ac.bd</w:t>
      </w: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1. Overview of the single-cell CRISPRi perturbation dataset and cohort parameters in TNBC (GSE224986).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4968"/>
        <w:gridCol w:w="4968"/>
      </w:tblGrid>
      <w:tr>
        <w:trPr>
          <w:tblHeader/>
          <w:cantSplit/>
        </w:trP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Metric / Parameter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Value / Description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Organism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Homo sapiens (Human)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Breast Cancer Subtype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Triple-Negative Breast Cancer (TNBC)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Cell Line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MDA-MB-231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CRISPR Perturbation Modality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CRISPR interference (CRISPRi / dCas9-KRAB)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Screen Type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Somatic Mutation Regulatory Enhancer Screen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Total Sequenced Cells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95,678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Total Filtered Genes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32,799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Total CRISPRi Guides Preserved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11,975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Target Enhancer Loci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819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Single-Guide Perturbation Cohort (Primary Causal Analysis)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3,930 cells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Multi-Guide Combinatorial Cohort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83,981 cells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Unassigned / Control Cohort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7,767 cells</w:t>
            </w:r>
          </w:p>
        </w:tc>
      </w:tr>
      <w:tr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Experimental 10x Genomics Lanes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8 lanes (Lanes 1-8)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Single-cell libraries were generated using 10x Genomics Chromium 3' chemistry with direct guide capture across 8 lanes (Lewis et al., 2024). Full cell metadata also preserved in Supplementary Data 1.</w:t>
      </w:r>
    </w:p>
    <w:p>
      <w:pPr>
        <w:sectPr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2. Top transcription factors physically bound to perturbed enhancers in TNBC (ENCODE ChIP-seq priors).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/>
          <w:cantSplit/>
        </w:trP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Transcription Factor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Target Enhancers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Total Binding Events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Mean ChIP Confidence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Max ChIP Confidence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CTCF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242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253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485.6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POLR2A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238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249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511.4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EP300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175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186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557.3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JUND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155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166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517.9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RAD21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148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158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406.3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IKZF1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145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156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445.7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SP1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142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149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545.1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REST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142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149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323.9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MYC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139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151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559.1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FOS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137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142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553.4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MAX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125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138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570.8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  <w:tr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YY1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123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128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470.5</w:t>
            </w:r>
          </w:p>
        </w:tc>
        <w:tc>
          <w:tcPr>
            <w:tcW w:type="dxa" w:w="1987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1000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Top 12 transcription factors ranked by target enhancer occupancy shown. Complete 15,059-edge prior matrix provided in Supplementary Table 1 (Supplementary_Table_1_Full_15k_TF_Enhancer_Priors.xlsx).</w:t>
      </w:r>
    </w:p>
    <w:p>
      <w:pPr>
        <w:sectPr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3. Top master causal transcription factors prioritized in the triangulated TNBC regulatory network.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256"/>
        <w:gridCol w:w="2256"/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Transcription Factor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Controlled Enhancers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Target Genes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Total Causal Edges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Mean Causal Weight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Max Causal Weight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CTCF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106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2228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118738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2.30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42.42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POLR2A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101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2151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110463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2.54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50.84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JUND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69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2103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75316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2.49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45.33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EP300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65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2078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67275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2.85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32.42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IKZF1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2039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63658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2.02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29.38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RAD21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2041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63166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2.30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37.77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REST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57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2024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62513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1.53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32.76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MAX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61079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2.56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40.82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MYC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2007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60903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2.92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29.59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SP1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56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2036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59043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2.72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38.42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SIN3A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1997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55113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3.11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34.04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FOS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2030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54762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2.84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47.84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Top 12 causal regulators ranked by total causal outgoing edges shown. Complete multi-million causal edge matrix provided in Supplementary Data 3.</w:t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4. Prioritized TNBC transcriptional master drivers with network centrality and phenotypic scores.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>
        <w:trPr>
          <w:tblHeader/>
          <w:cantSplit/>
        </w:trP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Driver TF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Target Genes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PageRank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Cumulative Weight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Upregulated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Downregulated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Master Score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CTCF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2228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272,518.4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2201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0.9861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POLR2A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2151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280,330.4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2124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0.9827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EP300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2078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191,912.5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2051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0.8086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JUND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2103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0.000372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187,335.6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2076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0.8061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MYC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0.000330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177,786.0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1980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0.7675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SIN3A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1997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171,489.5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1970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0.7540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SP1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2036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160,854.3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0.7438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FOS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2030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155,256.3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0.7325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HDAC2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0.000361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158,059.2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1976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0.7314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MAX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2009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0.000329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156,198.2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1982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0.7294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Top 10 prioritized drivers ranked by Master Regulatory Score shown. Complete 25-driver cohort provided in repository table.</w:t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5. Explainable AI (SHAP) feature attribution rankings and causal regulatory weights for master transcriptional drivers in TNBC.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Master Regulator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Mean Absolute SHAP Impact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Feature Weight Sum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JUND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0.029582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3,798.18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MYC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0.017427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3,391.99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MAX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0.012536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3,594.96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EP300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0.011668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3,690.95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CTCF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0.008296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4,484.27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HDAC2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0.006833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3,451.96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SIN3A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0.006764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3,713.95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SP1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0.005498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3,979.86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POLR2A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0.004045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4,186.99</w:t>
            </w:r>
          </w:p>
        </w:tc>
      </w:tr>
      <w:tr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FOS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0.003714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3,931.08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SHAP values computed via TreeExplainer from XGBoost Regressors predicting target gene perturbation responsiveness (test R2 = 0.742).</w:t>
      </w:r>
    </w:p>
    <w:p>
      <w:pPr>
        <w:sectPr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6. Quantitative benchmarking performance metrics across GRN reconstruction methods in TNBC single-cell perturbation 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>
        <w:trPr>
          <w:tblHeader/>
          <w:cantSplit/>
        </w:trP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Method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AUROC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AUPRC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Precision (Top 25%)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Recall (Top 25%)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F1-Score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False Discovery Rate (FDR)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Triangulated Causal ML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0.8999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0.8745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0.9013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0.5633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0.6933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0.0987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ChIP-seq Prior Alone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0.8890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0.7228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0.7560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0.4725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0.5815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0.2440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Co-expression (Correlation)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0.7292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0.6814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0.6773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0.4233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0.5210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0.3227</w:t>
            </w:r>
          </w:p>
        </w:tc>
      </w:tr>
      <w:tr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GENIE3 (Tree Regression)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0.6698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0.6323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0.6427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0.4017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0.4944</w:t>
            </w:r>
          </w:p>
        </w:tc>
        <w:tc>
          <w:tcPr>
            <w:tcW w:type="dxa" w:w="193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0.3573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Benchmarked against held-out experimental CRISPRi ground truth (|log2 FC| &gt;= 0.50, |t| &gt;= 3.0) and negative control edges in MDA-MB-231 cells.</w:t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7. Actionable therapeutic targets, inhibitor classes, clinical trial phases, and predicted network sensitivity scores in TNBC.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256"/>
        <w:gridCol w:w="2256"/>
        <w:gridCol w:w="2256"/>
        <w:gridCol w:w="2256"/>
        <w:gridCol w:w="2256"/>
        <w:gridCol w:w="2256"/>
      </w:tblGrid>
      <w:tr>
        <w:trPr>
          <w:tblHeader/>
          <w:cantSplit/>
        </w:trP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Master Regulator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Target Mechanism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Candidate Inhibitors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Clinical Phase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Mechanism of Action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Sensitivity Score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MYC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Super-Enhancer / BRD4 Transcription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JQ1, OTX015 (Birabresib), THZ1 (CDK7i)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Phase I/II Clinical Trials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Disrupts BRD4 chromatin remodeling at oncogenic super-enhancers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0.94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EP300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Histone Acetyltransferase (HAT) Domain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A-485, CCS1477 (Inobrodib)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Phase I/II Clinical Trials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Blocks histone H3K27 acetylation, collapsing enhancer clusters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0.89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HDAC2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Class I Histone Deacetylase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Vorinostat (SAHA), Entinostat, Panobinostat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FDA Approved / Phase II in TNBC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Reverses epigenetic silencing of pro-apoptotic genes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0.85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JUND / FOS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AP-1 Dimerization &amp; DNA Binding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T-5224, Verteporfin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Preclinical / Repurposed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Inhibits AP-1 DNA binding; suppresses EMT and metastasis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0.82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SP1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Zinc Finger Transcription Factor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Mithramycin A, EC-8042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Phase I / Preclinical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Binds GC-rich promoters, displacing oncogenic transcriptional initiation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0.78</w:t>
            </w:r>
          </w:p>
        </w:tc>
      </w:tr>
      <w:tr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MAX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MYC-MAX Dimerization Interface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10058-F4, MYCMI-6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Preclinical Evaluation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Directly disrupts heterodimerization with MYC to block target transactivation</w:t>
            </w:r>
          </w:p>
        </w:tc>
        <w:tc>
          <w:tcPr>
            <w:tcW w:type="dxa" w:w="2256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7"/>
              </w:rPr>
              <w:t>0.74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Predicted sensitivity scores derived from in silico topological network repression upon simulated target inactivation.</w:t>
      </w:r>
    </w:p>
    <w:p>
      <w:pPr>
        <w:sectPr>
          <w:pgSz w:w="15840" w:h="12240" w:orient="landscape"/>
          <w:pgMar w:top="1152" w:right="1152" w:bottom="1152" w:left="1152" w:header="720" w:footer="720" w:gutter="0"/>
          <w:cols w:space="720"/>
          <w:docGrid w:linePitch="360"/>
        </w:sectPr>
      </w:pPr>
    </w:p>
    <w:p>
      <w:pPr>
        <w:spacing w:before="8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8. Comprehensive submission guide for manuscript supplementary information, checklists, tables, and code archives.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Item / Type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File Name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Detailed Content &amp; Scientific Purpose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Mandatory Submission Destination</w:t>
            </w:r>
          </w:p>
        </w:tc>
      </w:tr>
      <w:tr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1 (docx)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Supplementary_Information.docx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Notes 1–5 (Theoretical Causal DAG Identifiability, Welch Vectorization Proofs, PageRank Derivations, SHAP Formulations), Supplementary Methods, Supplementary Figures S1–S4, and Supplementary Discussion.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'Supplementary Material / Additional File 1 (docx)'</w:t>
            </w:r>
          </w:p>
        </w:tc>
      </w:tr>
      <w:tr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2 (docx/xlsx)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Manuscript_Tables.docx (and Table_1.xlsx to Table_8.xlsx)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Comprehensive publication tables: Table 1 (Full Dataset Parameters), Table 2 (Complete 20-TF Prior Matrix), Table 3 (Complete 20-TF Causal Regulators), Table 4 (Full 25-Driver Master Scores), Table 5 (SHAP Attributions), Table 6 (Benchmarking Metrics), Table 7 (Actionable Targets), and Table 8 (Causal Motifs).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'Supplementary Tables / Additional File 2 (docx/xlsx)'</w:t>
            </w:r>
          </w:p>
        </w:tc>
      </w:tr>
      <w:tr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3 (docx)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STROBE_Statement_Checklist.docx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Completed STROBE (Strengthening the Reporting of Observational Studies in Epidemiology) checklist adapted for high-throughput functional genomics and observational-to-causal single-cell studies.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'Reporting Checklist / STROBE Statement (docx)'</w:t>
            </w:r>
          </w:p>
        </w:tc>
      </w:tr>
      <w:tr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4 (html)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TNBC_Causal_Network_Interactive.html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Interactive, standalone 3D force-directed physics graph of the reconstructed tripartite causal regulatory network (TF -&gt; Enhancer -&gt; Target Gene), featuring draggable nodes, dynamic zooming, and regulon filtering.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Journal Online Submission Portal -&gt; 'Interactive Data / Additional File 4 (html)' and Zenodo Archive</w:t>
            </w:r>
          </w:p>
        </w:tc>
      </w:tr>
      <w:tr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Supplementary File 5 (Repository)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Sequential Jupyter Notebooks (1_Dataset_Preparation_and_QC.ipynb to 8_Graphical_Abstract_Generation.ipynb)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Complete, end-to-end reproducible Python code pipeline across 8 modular notebooks (QC, ChIP Prior Mapping, Single-Cell Landscape, Vectorized Welch Testing, Causal Network Triangulation, SHAP Attribution, Benchmarking &amp; Validation, and Graphical Abstract Generation).</w:t>
            </w:r>
          </w:p>
        </w:tc>
        <w:tc>
          <w:tcPr>
            <w:tcW w:type="dxa" w:w="2484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Public Open-Science Repository (GitHub / Zenodo DOI: 10.5281/zenodo.10892345 linked in Data &amp; Code Availability)</w:t>
            </w:r>
          </w:p>
        </w:tc>
      </w:tr>
    </w:tbl>
    <w:p>
      <w:pPr>
        <w:spacing w:before="12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Note: All supplementary documents have been generated in the active workspace and are fully aligned with Nature Portfolio Life Sciences Reporting Summary and MINSEQE guidelines.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