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2. Top transcription factors physically bound to perturbed enhancers in TNBC (ENCODE ChIP-seq priors).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Transcription Factor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Target Enhancers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Total Binding Events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Mean ChIP Confidence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Max ChIP Confidence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CTCF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242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253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485.6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POLR2A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238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249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511.4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EP300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175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186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557.3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JUND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166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517.9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RAD21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406.3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IKZF1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156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445.7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SP1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545.1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REST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323.9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MYC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139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559.1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FOS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137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553.4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MAX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125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138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570.8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YY1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123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128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470.5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Top 12 transcription factors ranked by target enhancer occupancy shown. Complete 15,059-edge prior matrix provided in Supplementary Table 1 (Supplementary_Table_1_Full_15k_TF_Enhancer_Priors.xlsx).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