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3. Top master causal transcription factors prioritized in the triangulated TNBC regulatory network.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  <w:gridCol w:w="2160"/>
        <w:gridCol w:w="216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Transcription Factor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Controlled Enhancers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Target Genes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Total Causal Edges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Mean Causal Weight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Max Causal Weight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CTCF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106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2228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118738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2.30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42.42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POLR2A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101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2151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110463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2.54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50.84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JUND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69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2103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75316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2.49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45.33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EP300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65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2078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67275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2.85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32.42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IKZF1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58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2039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63658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2.02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29.38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RAD21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58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2041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63166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2.30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37.77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REST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57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2024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62513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1.53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32.76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MAX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52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2009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61079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2.56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40.82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MYC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54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2007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60903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2.92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29.59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SP1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56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2036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59043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2.72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38.42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SIN3A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50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1997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55113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3.11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34.04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FOS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52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2030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54762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2.84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47.84</w:t>
            </w:r>
          </w:p>
        </w:tc>
      </w:tr>
    </w:tbl>
    <w:p>
      <w:pPr>
        <w:spacing w:before="12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8"/>
        </w:rPr>
        <w:t>Note: Top 12 causal regulators ranked by total causal outgoing edges shown. Complete multi-million causal edge matrix provided in Supplementary Data 3.</w:t>
      </w:r>
    </w:p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