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6. Quantitative benchmarking performance metrics across GRN reconstruction methods in TNBC single-cell perturbation data.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1851"/>
        <w:gridCol w:w="1851"/>
        <w:gridCol w:w="1851"/>
        <w:gridCol w:w="1851"/>
        <w:gridCol w:w="1851"/>
        <w:gridCol w:w="1851"/>
        <w:gridCol w:w="1851"/>
      </w:tblGrid>
      <w:tr>
        <w:trPr>
          <w:tblHeader/>
          <w:cantSplit/>
        </w:trPr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Method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AUROC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AUPRC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Precision (Top 25%)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Recall (Top 25%)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F1-Score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7"/>
              </w:rPr>
              <w:t>False Discovery Rate (FDR)</w:t>
            </w:r>
          </w:p>
        </w:tc>
      </w:tr>
      <w:tr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Triangulated Causal ML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0.8999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0.8745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0.9013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0.5633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0.6933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0.0987</w:t>
            </w:r>
          </w:p>
        </w:tc>
      </w:tr>
      <w:tr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ChIP-seq Prior Alone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0.8890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0.7228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0.7560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0.4725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0.5815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0.2440</w:t>
            </w:r>
          </w:p>
        </w:tc>
      </w:tr>
      <w:tr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Co-expression (Correlation)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0.7292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0.6814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0.6773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0.4233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0.5210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0.3227</w:t>
            </w:r>
          </w:p>
        </w:tc>
      </w:tr>
      <w:tr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GENIE3 (Tree Regression)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0.6698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0.6323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0.6427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0.4017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0.4944</w:t>
            </w:r>
          </w:p>
        </w:tc>
        <w:tc>
          <w:tcPr>
            <w:tcW w:type="dxa" w:w="1851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0.3573</w:t>
            </w:r>
          </w:p>
        </w:tc>
      </w:tr>
    </w:tbl>
    <w:p>
      <w:pPr>
        <w:spacing w:before="12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8"/>
        </w:rPr>
        <w:t>Note: Benchmarked against held-out experimental CRISPRi ground truth (|log2 FC| &gt;= 0.50, |t| &gt;= 3.0) and negative control edges in MDA-MB-231 cells.</w:t>
      </w:r>
    </w:p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