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2"/>
        </w:rPr>
        <w:t>Table 7. Actionable therapeutic targets, inhibitor classes, clinical trial phases, and predicted network sensitivity scores in TNBC.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2160"/>
        <w:gridCol w:w="2160"/>
        <w:gridCol w:w="2160"/>
        <w:gridCol w:w="2160"/>
        <w:gridCol w:w="2160"/>
        <w:gridCol w:w="2160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Master Regulator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Target Mechanism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Candidate Inhibitors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Clinical Phase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Mechanism of Action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Sensitivity Score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MYC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Super-Enhancer / BRD4 Transcription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JQ1, OTX015 (Birabresib), THZ1 (CDK7i)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Phase I/II Clinical Trials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Disrupts BRD4 chromatin remodeling at oncogenic super-enhancers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0.94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EP300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Histone Acetyltransferase (HAT) Domain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A-485, CCS1477 (Inobrodib)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Phase I/II Clinical Trials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Blocks histone H3K27 acetylation, collapsing enhancer clusters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0.89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HDAC2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Class I Histone Deacetylase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Vorinostat (SAHA), Entinostat, Panobinostat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FDA Approved / Phase II in TNBC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Reverses epigenetic silencing of pro-apoptotic genes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0.85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JUND / FOS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AP-1 Dimerization &amp; DNA Binding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T-5224, Verteporfin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Preclinical / Repurposed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Inhibits AP-1 DNA binding; suppresses EMT and metastasis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0.82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SP1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Zinc Finger Transcription Factor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Mithramycin A, EC-8042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Phase I / Preclinical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Binds GC-rich promoters, displacing oncogenic transcriptional initiation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0.78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MAX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MYC-MAX Dimerization Interface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10058-F4, MYCMI-6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Preclinical Evaluation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Directly disrupts heterodimerization with MYC to block target transactivation</w:t>
            </w:r>
          </w:p>
        </w:tc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0.74</w:t>
            </w:r>
          </w:p>
        </w:tc>
      </w:tr>
    </w:tbl>
    <w:p>
      <w:pPr>
        <w:spacing w:before="120" w:after="8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18"/>
        </w:rPr>
        <w:t>Note: Predicted sensitivity scores derived from in silico topological network repression upon simulated target inactivation.</w:t>
      </w:r>
    </w:p>
    <w:sectPr w:rsidR="00FC693F" w:rsidRPr="0006063C" w:rsidSect="0003461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