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="276" w:lineRule="auto"/>
        <w:jc w:val="center"/>
      </w:pPr>
      <w:r>
        <w:rPr>
          <w:rFonts w:ascii="Times New Roman" w:hAnsi="Times New Roman"/>
          <w:b/>
          <w:i w:val="0"/>
          <w:color w:val="000000"/>
          <w:sz w:val="30"/>
        </w:rPr>
        <w:t>STROBE Statement—Checklist of Items for Observational, Functional Genomic, and Interventional Studies</w:t>
      </w:r>
    </w:p>
    <w:p>
      <w:pPr>
        <w:spacing w:before="0" w:after="80" w:line="276" w:lineRule="auto"/>
        <w:jc w:val="center"/>
      </w:pPr>
      <w:r>
        <w:rPr>
          <w:rFonts w:ascii="Times New Roman" w:hAnsi="Times New Roman"/>
          <w:b/>
          <w:i/>
          <w:color w:val="000000"/>
          <w:sz w:val="23"/>
        </w:rPr>
        <w:t>Triangulating Single-Cell Perturbation Screens with Epigenetic Priors Reconstructs Causal Super-Enhancer Regulatory Networks in Triple-Negative Breast Cancer</w:t>
      </w:r>
    </w:p>
    <w:p>
      <w:pPr>
        <w:spacing w:before="0" w:after="40" w:line="276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1"/>
        </w:rPr>
        <w:t>Omar Faroque¹, Mst. Homayra Jannaty¹, Shahriar Ahmed Abir², Suman Biswas¹*</w:t>
      </w:r>
    </w:p>
    <w:p>
      <w:pPr>
        <w:spacing w:before="0" w:after="240" w:line="276" w:lineRule="auto"/>
        <w:jc w:val="center"/>
      </w:pPr>
      <w:r>
        <w:rPr>
          <w:rFonts w:ascii="Times New Roman" w:hAnsi="Times New Roman"/>
          <w:b w:val="0"/>
          <w:i/>
          <w:color w:val="000000"/>
          <w:sz w:val="18"/>
        </w:rPr>
        <w:t>¹ Department of Statistics, Faculty of Sciences, Islamic University, Kushtia-7003, Bangladesh</w:t>
        <w:br/>
        <w:t>² Department of Biotechnology and Genetic Engineering, Faculty of Biological Sciences, Islamic University, Kushtia-7003, Bangladesh</w:t>
        <w:br/>
        <w:t>* Corresponding Author: suman@stat.iu.ac.bd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0" w:space="0" w:color="000000"/>
          <w:bottom w:val="single" w:sz="10" w:space="0" w:color="000000"/>
          <w:left w:val="none"/>
          <w:right w:val="none"/>
          <w:insideH w:val="single" w:sz="4" w:space="0" w:color="E0E0E0"/>
          <w:insideV w:val="none"/>
        </w:tblBorders>
      </w:tblPr>
      <w:tblGrid>
        <w:gridCol w:w="2707"/>
        <w:gridCol w:w="2707"/>
        <w:gridCol w:w="2707"/>
        <w:gridCol w:w="2707"/>
        <w:gridCol w:w="2707"/>
      </w:tblGrid>
      <w:tr>
        <w:trPr>
          <w:tblHeader/>
          <w:cantSplit/>
        </w:trP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Section / Topic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Item #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STROBE Checklist Recommendation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Detailed Implementation in TNBC Causal ML Manuscript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Manuscript Location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Indicate study's design with a commonly used term in title/abstract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 clearly indicate the study design: genome-scale single-cell CRISPRi perturbation screening, multi-omics epigenetic prior integration, causal DAG triangulation, and clinical survival validation in human TNBC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Title; Abstract; Page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Title and Abstract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1b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Provide an informative and balanced summary of what was done and found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Structured abstract delineates clinical rationale (TNBC chemo-refractoriness), dataset scale (GSE224986; 95,678 cells, 11,975 sgRNAs), causal triangulation methodology, master driver prioritization (JUND, MYC, EP300, CTCF), TreeExplainer SHAP attribution, benchmarking against existing GRN methods, in silico KO validation (R² = 0.473), clinical survival (TCGA-BRCA, METABRIC), and epigenetic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Abstract; Page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Introduction - Background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scientific background and rationale for investigation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1.1–1.3: Aggressive clinical trajectory and lack of targeted receptor therapies in TNBC; high reliance on distal super-enhancers; mathematical and biological failure of observational transcriptomic GRNs (GENIE3, SCENIC) driven by dropout zero-inflation (&gt;45% FDR); necessity of interventional do-calculus and functional single-cell CRISPRi.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1.1–1.3; Pages 1–2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Introduction - Objectives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3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State specific objectives, including any prespecified hypotheses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1.4: Explicitly defines 6 primary investigative objectives: (i) construct tripartite causal GRN (TF → Enhancer → Gene); (ii) prioritize master drivers via PageRank and MRS; (iii) decode non-linear cooperativity via Explainable AI (SHAP); (iv) benchmark against state-of-the-art GRN algorithms; (v) validate clinical prognosis in independent patient cohorts; and (vi) map synergistic epigenetic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1.4; Page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Study Design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4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Present key elements of study design early in the paper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2.1–2.4: Comprehensive end-to-end causal machine learning workflow uniting physical chromatin occupancy (ENCODE Factorbook ChIP-seq) with randomized interventional perturbation response (single-cell CRISPRi / dCas9-KRAB).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2.1–2.4; Pages 2–3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Setting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5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setting, locations, relevant dates, exposure periods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In vitro model system MDA-MB-231 (archetypal mesenchymal/basal-like TNBC); genome-scale single-cell CRISPRi Perturb-seq screen across 8 independent 10x Genomics Chromium 3' sequencing lanes (GEO accession GSE224986).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Page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Participants / Cells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6a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eligibility criteria, sources, and selection methods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Stringent single-cell quality control thresholds: cells retaining &gt;= 200 detected genes and &lt;= 15% mitochondrial reads; genes expressed in &gt;= 3 cells; resulting in 95,678 high-quality single cells and 32,799 gene features.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Table 1; Figure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Variables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7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Clearly define all outcomes, exposures, predictors, confounders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2.1–2.4: Exposure = targeted dCas9-KRAB single-guide enhancer silencing (819 somatic mutation loci); Outcome = log2 fold change and Welch t-statistic of target genes; Predictors = ChIP peak confidence score C_ChIP(i, e) in [0, 1000] and causal weight W_causal; Potential Confounders = technical dropout zeros, 10x sequencing lane batches, and multi-guide epistatic crosstalk.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2.3, 2.4; Table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Data Sources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8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sources of data and details of measurement methods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2.2, 2.7: GEO GSE224986 (single-cell CRISPRi), GSE223812 (enhancer coordinates), UCSC / ENCODE encRegTfbsClustered (ChIP-seq priors across 340 TFs), TCGA-BRCA (n = 160 TNBC) and METABRIC (n = 320 TNBC) clinical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2.2, 2.7; Pages 2–4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Bias Control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9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any efforts to address potential sources of bias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2.3, 2.4: Unconfounded causal identifiability enforced by evaluating single-guide perturbation cells (n = 3,930) strictly against unperturbed negative-control cells (n = 7,767), breaking multi-guide epistatic confounding; observational dropout zeros overcome by requiring physical ChIP-seq binding priors; lane batch effects controlled.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2.4; Supplementary Note 2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Study Size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study size was arrived at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2.1: Complete experimental library of 95,678 single cells, 11,975 unique sgRNAs, 819 targeted super-enhancers, and 32,799 gene features; stratified into single-guide (n = 3,930), multi-guide (n = 83,981), and control (n = 7,767)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2.1; Table 1; Figure 1d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Quantitative Variables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11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quantitative variables were handled in analyses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2.3–2.6: Library size normalization to 10,000 counts per cell (CP10k); log1p transformation; vectorized Welch t-statistic computation with Welch-Satterthwaite degrees of freedom; composite causal weight scaling W_causal = C_ChIP × |log2 FC| × |t|.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2.4; Supplementary Notes 1, 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Statistical Methods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all statistical methods, including confounder control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2.3–2.7: Fast vectorized two-sample Welch t-test; Google PageRank graph centrality (damping factor α = 0.85); Gradient Boosted Decision Trees (XGBoost Regressor; 100 estimators, depth = 4); exact TreeExplainer SHAP attribution; multivariable Cox proportional hazards modeling adjusted for age, tumor stage, and nodal status.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2.3–2.7; Supplementary Notes 3–5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Subgroups &amp; Interactions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12b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Describe methods examining subgroups and interactions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2.8: Unsupervised Leiden community detection (resolution = 0.5) resolving 12 distinct transcriptional phenotypic states (Clusters 0 to 11); multi-factor combinatorial epigenetic perturbation simulations (BETi + HATi + HDACi).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2.3, 2.8; Figures 1c, 8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Methods - Missing Data Handling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12c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Explain how missing data were addressed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2.4: Zero-inflation handled naturally via interventional differential testing without artificial expression imputation; chunked Compressed Sparse Row (CSR) matrix representation in h5py and AnnData.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2.1, 2.4; Pages 2–3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Participants / Cells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13a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Report numbers of individuals/cells at each stage of study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3.1: 95,678 single cells evaluated post-QC; 32,799 expressing genes; stratified across 12 Leiden clusters and 8 experimental sequencing lanes; 3,930 single-guide cells, 83,981 multi-guide cells, 7,767 negative-control cells.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3.1; Table 1; Figure 1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Descriptive Data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14a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characteristics of study participants/cells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3.1, Table 1, Figure 1: Median 6,519 UMIs per cell (Figure 1a); median 2,138 detected genes per cell (Figure 1b); 819 targeted super-enhancer loci across 11,975 sgRNAs.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3.1; Table 1; Figure 1a–d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Main Findings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16a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unadjusted and adjusted effect estimates and precision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3.2–3.5, Tables 2–5, Figures 2–5: 15,059 physical TF–enhancer prior edges (Table 2); 1,110,566 functional perturbation responses (Section 3.3); 6,366,350 tripartite causal paths (Section 3.4); master drivers CTCF (118.7k paths), POLR2A (110.5k), JUND (75.3k), EP300 (67.3k), MYC (54.8k); TreeExplainer SHAP attribution ranking JUND (mean |SHAP| = 0.0296) and MYC (0.0174) with non-linear switch dynamics (Table 5).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3.2–3.6; Tables 2–5; Figures 2–6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Results - Benchmarking &amp; Validation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17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Report other analyses done (sensitivity, benchmarking, validation)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3.7–3.8, Tables 6–7, Figure 7: Causal Triangulation AUROC = 0.941 and AUPRC = 0.918 vs SCENIC (0.782 / 0.694), CellOracle (0.751 / 0.648), Scribe (0.688 / 0.582), PIDC (0.642 / 0.521); in silico driver knockout validation yielding Pearson r = 0.688, R² = 0.473 (p = 3.37 × 10⁻¹²², N = 864 genes); clinical validation in TCGA-BRCA (n = 160) and METABRIC (n = 320) basal-like cohorts.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3.7–3.8; Table 6; Figure 7a–e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Key Results &amp; Conclusion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18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Summarize key results with reference to study objectives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4.1–4.6 (Conclusion): Synthesizes causal triangulation of 6.36M directed regulatory edges; elimination of observational dropout confounding (&gt;45% FDR); continuous DAG identifiability; non-linear AP-1/MYC switch dynamics; in silico knockout validation (R² = 0.473); and rational tri-modal epigenetic synergy (BETi + HATi + HDACi) collapsing 93.4% of core oncogenic circuitry while de-repressing tumor suppressor checkpoints.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4.6 (Conclusion); Pages 6–7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Limitations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19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 limitations of study (potential bias, imprecision)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4.5: In vitro cell-line setting (MDA-MB-231); targeted silencing of non-coding enhancers rather than direct genetic coding knockouts of upstream transcription factor genes; computational rather than in vivo clinical trial validation of predicted combination therapies.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 4.5; Page 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Discussion - Interpretation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20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a cautious overall interpretation of results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4.2–4.6: Triangulating randomized Perturb-seq interventions with physical ChIP occupancy provides a mathematically defensible, biologically validated approach for cancer gene regulatory network discovery and overcoming drug resistance in TNBC.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Sections 4.2–4.6; Page 7</w:t>
            </w:r>
          </w:p>
        </w:tc>
      </w:tr>
      <w:tr>
        <w:tc>
          <w:tcPr>
            <w:tcW w:type="dxa" w:w="2160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Funding &amp; Disclosures</w:t>
            </w:r>
          </w:p>
        </w:tc>
        <w:tc>
          <w:tcPr>
            <w:tcW w:type="dxa" w:w="864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center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22</w:t>
            </w:r>
          </w:p>
        </w:tc>
        <w:tc>
          <w:tcPr>
            <w:tcW w:type="dxa" w:w="316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Give source of funding and role of funders</w:t>
            </w:r>
          </w:p>
        </w:tc>
        <w:tc>
          <w:tcPr>
            <w:tcW w:type="dxa" w:w="5616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both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Declarations (Page 7): Supported by National Science &amp; Technology (NST) Fellowship (2025–2026), Ministry of Science and Technology, Government of the People's Republic of Bangladesh (Awardee: Omar Faroque, Group: Physical &amp; Mathematical Sciences). Funders had no role in study design, data collection, analysis, or manuscript preparation.</w:t>
            </w:r>
          </w:p>
        </w:tc>
        <w:tc>
          <w:tcPr>
            <w:tcW w:type="dxa" w:w="1728"/>
            <w:vAlign w:val="center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/>
            <w:r>
              <w:rPr>
                <w:rFonts w:ascii="Times New Roman" w:hAnsi="Times New Roman"/>
                <w:b w:val="0"/>
                <w:color w:val="000000"/>
                <w:sz w:val="17"/>
              </w:rPr>
              <w:t>Declarations; Page 7</w:t>
            </w:r>
          </w:p>
        </w:tc>
      </w:tr>
    </w:tbl>
    <w:p>
      <w:pPr>
        <w:spacing w:before="80" w:after="80" w:line="276" w:lineRule="auto"/>
        <w:jc w:val="both"/>
      </w:pPr>
      <w:r>
        <w:rPr>
          <w:rFonts w:ascii="Times New Roman" w:hAnsi="Times New Roman"/>
          <w:b w:val="0"/>
          <w:i/>
          <w:color w:val="000000"/>
          <w:sz w:val="17"/>
        </w:rPr>
        <w:t>Note: This checklist adheres to the STROBE (Strengthening the Reporting of Observational Studies in Epidemiology) guidelines adapted for molecular epidemiology, high-throughput single-cell functional genomics, and interventional causal discovery. All metrics, cohort dimensions, and experimental parameters strictly match the primary manuscript text, figures, tables, and Section 4.6 (Conclusion).</w:t>
      </w:r>
    </w:p>
    <w:sectPr w:rsidR="00FC693F" w:rsidRPr="0006063C" w:rsidSect="00034616">
      <w:pgSz w:w="15840" w:h="12240" w:orient="landscape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