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Applying Causal Machine Learning and Multi-Omics Integration to Unravel Gene Regulatory Networks in Triple-Negative Breast Cancer (TNBC)</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r>
        <w:t xml:space="preserve">Triple-Negative Breast Cancer (TNBC) represents the most aggressive and lethal breast cancer subtype, defined by the clinical absence of estrogen receptor (ER), progesterone receptor (PR), and human epidermal growth factor receptor </w:t>
      </w:r>
      <w:proofErr w:type="gramStart"/>
      <w:r>
        <w:t>2</w:t>
      </w:r>
      <w:proofErr w:type="gramEnd"/>
      <w:r>
        <w:t xml:space="preserve"> (HER2) amplification. The lack of actionable cell-surface oncogenic receptors restricts frontline systemic treatment to cytotoxic chemotherapy, which frequently results in therapeutic resistance, early visceral recurrence, and poor overall survival. </w:t>
      </w:r>
      <w:r w:rsidR="00F46003" w:rsidRPr="00F46003">
        <w:t xml:space="preserve">Recent functional </w:t>
      </w:r>
      <w:proofErr w:type="spellStart"/>
      <w:r w:rsidR="00F46003" w:rsidRPr="00F46003">
        <w:t>epigenomic</w:t>
      </w:r>
      <w:proofErr w:type="spellEnd"/>
      <w:r w:rsidR="00F46003" w:rsidRPr="00F46003">
        <w:t xml:space="preserve"> investigations establish that TNBC malignant progression is governed by extensive non-coding regulatory remodeling, particularly dense clusters of distal super-enhancers. However, classical computational methods for Gene Regulatory Network (GRN) reconstruction (including Pearson/Spearman correlation, GENIE3, and SCENIC) rely entirely on observational transcriptomic co-expression.</w:t>
      </w:r>
      <w:r w:rsidR="00F46003">
        <w:t xml:space="preserve"> </w:t>
      </w:r>
      <w:r>
        <w:t xml:space="preserve">In single-cell RNA-sequencing (scRNA-seq), observational metrics suffer from severe technical zero-inflation ('dropouts') and indirect correlation artifacts, leading to false discovery rates exceeding 45%. Here, we formulate and execute an interventional causal machine learning framework that triangulates large-scale single-cell CRISPR-perturbation sequencing (Perturb-seq; GSE224986, comprising 95,678 cells across 11,975 sgRNAs) with ENCODE </w:t>
      </w:r>
      <w:proofErr w:type="spellStart"/>
      <w:r>
        <w:t>Factorbook</w:t>
      </w:r>
      <w:proofErr w:type="spellEnd"/>
      <w:r>
        <w:t xml:space="preserve"> </w:t>
      </w:r>
      <w:proofErr w:type="spellStart"/>
      <w:r>
        <w:t>ChIP</w:t>
      </w:r>
      <w:proofErr w:type="spellEnd"/>
      <w:r>
        <w:t>-seq physical transcription factor binding priors across 819 somatic mutation-associated super-enhancer loci in human TNBC (MDA-MB-231).</w:t>
      </w:r>
    </w:p>
    <w:p w:rsidR="000E6725" w:rsidRDefault="004B7759">
      <w:pPr>
        <w:spacing w:line="276" w:lineRule="auto" w:after="160"/>
      </w:pPr>
      <w:r/>
      <w:r>
        <w:rPr>
          <w:rFonts w:ascii="Times New Roman" w:hAnsi="Times New Roman"/>
          <w:b w:val="0"/>
          <w:i w:val="0"/>
          <w:color w:val="333333"/>
          <w:sz w:val="22"/>
        </w:rPr>
        <w:t xml:space="preserve">By enforcing simultaneous physical chromatin occupancy and functional interventional expression response under Pearl’s causal do-calculus, our tripartite causal discovery pipeline reconstructed 6,366,350 high-confidence directed regulatory paths (Transcription Factor → Enhancer → Target Gene). Topological network centrality and Google PageRank analysis prioritized master transcriptional drivers governing TNBC oncogenic signaling, specifically CTCF, POLR2A, EP300, JUND, MYC, SIN3A, SP1, FOS, HDAC2, and MAX, which causally regulate Hallmark gene sets for Epithelial-Mesenchymal Transition (EMT; </w:t>
      </w:r>
      <w:r>
        <w:rPr>
          <w:rFonts w:ascii="Times New Roman" w:hAnsi="Times New Roman"/>
          <w:b w:val="0"/>
          <w:i/>
          <w:color w:val="333333"/>
          <w:sz w:val="22"/>
        </w:rPr>
        <w:t>p</w:t>
      </w:r>
      <w:r>
        <w:rPr>
          <w:rFonts w:ascii="Times New Roman" w:hAnsi="Times New Roman"/>
          <w:b w:val="0"/>
          <w:i w:val="0"/>
          <w:color w:val="333333"/>
          <w:sz w:val="22"/>
        </w:rPr>
        <w:t xml:space="preserve"> = 1.2 × 10</w:t>
      </w:r>
      <w:r>
        <w:rPr>
          <w:rFonts w:ascii="Times New Roman" w:hAnsi="Times New Roman"/>
          <w:b w:val="0"/>
          <w:i w:val="0"/>
          <w:color w:val="333333"/>
          <w:sz w:val="22"/>
          <w:vertAlign w:val="superscript"/>
        </w:rPr>
        <w:t>-9</w:t>
      </w:r>
      <w:r>
        <w:rPr>
          <w:rFonts w:ascii="Times New Roman" w:hAnsi="Times New Roman"/>
          <w:b w:val="0"/>
          <w:i w:val="0"/>
          <w:color w:val="333333"/>
          <w:sz w:val="22"/>
        </w:rPr>
        <w:t>), E2F Targets (</w:t>
      </w:r>
      <w:r>
        <w:rPr>
          <w:rFonts w:ascii="Times New Roman" w:hAnsi="Times New Roman"/>
          <w:b w:val="0"/>
          <w:i/>
          <w:color w:val="333333"/>
          <w:sz w:val="22"/>
        </w:rPr>
        <w:t>p</w:t>
      </w:r>
      <w:r>
        <w:rPr>
          <w:rFonts w:ascii="Times New Roman" w:hAnsi="Times New Roman"/>
          <w:b w:val="0"/>
          <w:i w:val="0"/>
          <w:color w:val="333333"/>
          <w:sz w:val="22"/>
        </w:rPr>
        <w:t xml:space="preserve"> = 4.5 × 10</w:t>
      </w:r>
      <w:r>
        <w:rPr>
          <w:rFonts w:ascii="Times New Roman" w:hAnsi="Times New Roman"/>
          <w:b w:val="0"/>
          <w:i w:val="0"/>
          <w:color w:val="333333"/>
          <w:sz w:val="22"/>
          <w:vertAlign w:val="superscript"/>
        </w:rPr>
        <w:t>-8</w:t>
      </w:r>
      <w:r>
        <w:rPr>
          <w:rFonts w:ascii="Times New Roman" w:hAnsi="Times New Roman"/>
          <w:b w:val="0"/>
          <w:i w:val="0"/>
          <w:color w:val="333333"/>
          <w:sz w:val="22"/>
        </w:rPr>
        <w:t>), G2M Checkpoint (</w:t>
      </w:r>
      <w:r>
        <w:rPr>
          <w:rFonts w:ascii="Times New Roman" w:hAnsi="Times New Roman"/>
          <w:b w:val="0"/>
          <w:i/>
          <w:color w:val="333333"/>
          <w:sz w:val="22"/>
        </w:rPr>
        <w:t>p</w:t>
      </w:r>
      <w:r>
        <w:rPr>
          <w:rFonts w:ascii="Times New Roman" w:hAnsi="Times New Roman"/>
          <w:b w:val="0"/>
          <w:i w:val="0"/>
          <w:color w:val="333333"/>
          <w:sz w:val="22"/>
        </w:rPr>
        <w:t xml:space="preserve"> = 8.1 × 10</w:t>
      </w:r>
      <w:r>
        <w:rPr>
          <w:rFonts w:ascii="Times New Roman" w:hAnsi="Times New Roman"/>
          <w:b w:val="0"/>
          <w:i w:val="0"/>
          <w:color w:val="333333"/>
          <w:sz w:val="22"/>
          <w:vertAlign w:val="superscript"/>
        </w:rPr>
        <w:t>-7</w:t>
      </w:r>
      <w:r>
        <w:rPr>
          <w:rFonts w:ascii="Times New Roman" w:hAnsi="Times New Roman"/>
          <w:b w:val="0"/>
          <w:i w:val="0"/>
          <w:color w:val="333333"/>
          <w:sz w:val="22"/>
        </w:rPr>
        <w:t>), and Hypoxia (</w:t>
      </w:r>
      <w:r>
        <w:rPr>
          <w:rFonts w:ascii="Times New Roman" w:hAnsi="Times New Roman"/>
          <w:b w:val="0"/>
          <w:i/>
          <w:color w:val="333333"/>
          <w:sz w:val="22"/>
        </w:rPr>
        <w:t>p</w:t>
      </w:r>
      <w:r>
        <w:rPr>
          <w:rFonts w:ascii="Times New Roman" w:hAnsi="Times New Roman"/>
          <w:b w:val="0"/>
          <w:i w:val="0"/>
          <w:color w:val="333333"/>
          <w:sz w:val="22"/>
        </w:rPr>
        <w:t xml:space="preserve"> = 3.4 × 10</w:t>
      </w:r>
      <w:r>
        <w:rPr>
          <w:rFonts w:ascii="Times New Roman" w:hAnsi="Times New Roman"/>
          <w:b w:val="0"/>
          <w:i w:val="0"/>
          <w:color w:val="333333"/>
          <w:sz w:val="22"/>
          <w:vertAlign w:val="superscript"/>
        </w:rPr>
        <w:t>-5</w:t>
      </w:r>
      <w:r>
        <w:rPr>
          <w:rFonts w:ascii="Times New Roman" w:hAnsi="Times New Roman"/>
          <w:b w:val="0"/>
          <w:i w:val="0"/>
          <w:color w:val="333333"/>
          <w:sz w:val="22"/>
        </w:rPr>
        <w:t>). Explainable AI (SHAP TreeExplainer) revealed non-linear, switch-like regulatory dynamics for AP-1 (JUND/FOS) and MYC-driven oncogenic activation, demonstrating that oncogene transactivation accelerates rapidly only beyond discrete regulatory weight thresholds. Rigorous quantitative benchmarking against held-out experimental CRISPRi ground truth proved that our Triangulated Causal ML framework vastly outperformed baseline methods on held-out test enhancers (AUPRC = 0.875, AUROC = 0.900, Precision = 90.1%, FDR = 9.9%), outperforming GENIE3 (AUPRC = 0.632, Precision = 64.3%, FDR = 35.7%) and observational co-expression (AUPRC = 0.681, Precision = 67.7%, FDR = 32.3%). In silico simulated driver knockouts tightly mirrored observed experimental guide silencing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and prioritized master drivers significantly stratified reduced overall survival in Triple-Negative / Basal-like breast cancer patient cohorts (TCGA-BRCA and METABRIC; </w:t>
      </w:r>
      <w:r>
        <w:rPr>
          <w:rFonts w:ascii="Times New Roman" w:hAnsi="Times New Roman"/>
          <w:b w:val="0"/>
          <w:i/>
          <w:color w:val="333333"/>
          <w:sz w:val="22"/>
        </w:rPr>
        <w:t>p</w:t>
      </w:r>
      <w:r>
        <w:rPr>
          <w:rFonts w:ascii="Times New Roman" w:hAnsi="Times New Roman"/>
          <w:b w:val="0"/>
          <w:i w:val="0"/>
          <w:color w:val="333333"/>
          <w:sz w:val="22"/>
        </w:rPr>
        <w:t xml:space="preserve"> ≤ 0.019). Finally, in silico therapeutic vulnerability mapping demonstrated that dual/triple epigenetic combinations (targeting BET bromodomains, p300 HAT, and HDAC2) achieved up to 93% in silico disruption of core oncogenic regulatory network connectivity compared to only 38% under standard cytotoxic chemotherapy, nominating multi-target epigenetic intervention as an actionable combination hypothesis. This work provides an end-to-end, reproducible, and mathematically grounded causal discovery paradigm for identifying defensible biomarkers and rational combination therapies in TNBC.</w:t>
      </w:r>
    </w:p>
    <w:p w:rsidR="000E6725" w:rsidRDefault="004B7759">
      <w:pPr>
        <w:spacing w:after="280"/>
      </w:pPr>
      <w:r>
        <w:rPr>
          <w:b/>
        </w:rPr>
        <w:t xml:space="preserve">Keywords: </w:t>
      </w:r>
      <w:r>
        <w:t xml:space="preserve">Triple-Negative Breast Cancer; Causal Machine Learning; Single-Cell Perturb-seq; </w:t>
      </w:r>
      <w:proofErr w:type="spellStart"/>
      <w:r>
        <w:t>CRISPRi</w:t>
      </w:r>
      <w:proofErr w:type="spellEnd"/>
      <w:r>
        <w:t>; Gene Regulatory Networks; Explainable AI; SHAP; Epigenetic Super-Enhancers;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sz w:val="25"/>
        </w:rPr>
        <w:t xml:space="preserve">1.3 The Fatal Confounding of Observational GRN Inference and the Single-Cell </w:t>
      </w:r>
      <w:proofErr w:type="spellStart"/>
      <w:r>
        <w:rPr>
          <w:b/>
          <w:sz w:val="25"/>
        </w:rPr>
        <w:t>CRISPRi</w:t>
      </w:r>
      <w:proofErr w:type="spellEnd"/>
      <w:r>
        <w:rPr>
          <w:b/>
          <w:sz w:val="25"/>
        </w:rPr>
        <w:t xml:space="preserve"> Revolution</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sz w:val="25"/>
        </w:rPr>
        <w:t>1.4 Objectives of This Investigation: Introducing Triangulated Causal ML in TNBC</w:t>
      </w:r>
    </w:p>
    <w:p w:rsidR="000E6725" w:rsidRDefault="004B7759">
      <w:r>
        <w:t xml:space="preserve">In this study, we establish a comprehensive, end-to-end Causal Machine Learning framework applied to the largest available single-cell enhancer </w:t>
      </w:r>
      <w:proofErr w:type="spellStart"/>
      <w:r>
        <w:t>CRISPRi</w:t>
      </w:r>
      <w:proofErr w:type="spellEnd"/>
      <w:r>
        <w:t xml:space="preserve"> screen in human TNBC (GSE224986; 95,678 single cells across 11,975 sgRNAs and 819 targeted super-enhancer loci (selected from the broader library of 1,475 somatic and GWAS loci)) (Lewis et al., 2024). Specifically, we aim to: (</w:t>
      </w:r>
      <w:proofErr w:type="spellStart"/>
      <w:r>
        <w:t>i</w:t>
      </w:r>
      <w:proofErr w:type="spellEnd"/>
      <w:r>
        <w:t xml:space="preserve">) construct a high-confidence tripartite causal GRN (TF → Enhancer → Target Gene) by enforcing simultaneous physical </w:t>
      </w:r>
      <w:proofErr w:type="spellStart"/>
      <w:r>
        <w:t>ChIP</w:t>
      </w:r>
      <w:proofErr w:type="spellEnd"/>
      <w:r>
        <w:t xml:space="preserve">-seq binding and functional interventional response; (ii) prioritize master transcriptional drivers using directed multigraph topology and Google PageRank centrality; (iii) deploy Explainable AI (SHAP </w:t>
      </w:r>
      <w:proofErr w:type="spellStart"/>
      <w:r>
        <w:t>TreeExplainer</w:t>
      </w:r>
      <w:proofErr w:type="spellEnd"/>
      <w:r>
        <w:t>) to capture non-linear, multi-factorial causal gene regulation; (iv) quantitatively benchmark our triangulated framework against classical GRN algorithms (GENIE3, co-expression, prior alone); (v) clinically validate prioritized master drivers against patient survival cohorts (TCGA-BRCA, METABRIC); and (vi) computationally map actionable epigenetic combination therapies capable of collapsing the core TNBC oncogenic regulatory network.</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pPr>
      <w:r>
        <w:rPr>
          <w:rFonts w:ascii="Times New Roman" w:hAnsi="Times New Roman"/>
          <w:b w:val="0"/>
          <w:i w:val="0"/>
          <w:color w:val="333333"/>
          <w:sz w:val="22"/>
        </w:rPr>
        <w:t>Rigorous single-cell quality control filtering was executed using Scanpy (v1.9.8) (Wolf et al., 2018). Cells with fewer than 200 detected genes or aberrant mitochondrial read fractions (&gt;15%) were excluded. Genes expressed in fewer than 3 cells were pruned. Following quality control, the finalized expression matrix retained 95,678 high-quality single cells across 32,799 reliably expressed genes. Guide-capture matrices were normalized, and cells were stratified into three distinct experimental cohorts: (i) an unconfounded single-guide perturbation cohort (n = 3,930 cells carrying exactly one enhancer-targeting sgRNA); (ii) a combinatorial multi-guide perturbation cohort (n = 83,981 cells carrying ≥2 sgRNAs); and (iii) an unassigned / negative control cohort (n = 7,767 cells with non-targeting controls). To ensure unconfounded causal identifiability and eliminate combinatorial guide–guide epistatic confounding, all primary pairwise differential perturbation response calculations were conducted strictly using the isolated single-guide perturbation cohort (n = 3,930) evaluated against the unperturbed negative-control cell cohort (n = 7,767). This experimental design eliminates high-order multi-guide crosstalk, ensuring that downstream expression alterations represent direct functional consequences of single-enhancer repression. The processed single-cell dataset was formatted for downstream causal modeling (Supplementary Data 1).</w:t>
      </w:r>
    </w:p>
    <w:p w:rsidR="000E6725" w:rsidRDefault="004B7759">
      <w:pPr>
        <w:keepNext/>
        <w:spacing w:before="240" w:after="60"/>
        <w:jc w:val="left"/>
      </w:pPr>
      <w:r>
        <w:t>2.2 Epigenetic Multi-Omics Transcription Factor Prior Mapping</w:t>
      </w:r>
    </w:p>
    <w:p w:rsidR="000E6725" w:rsidRDefault="004B7759">
      <w:r>
        <w:rPr>
          <w:color w:val="333333"/>
          <w:sz w:val="22"/>
        </w:rPr>
        <w:t xml:space="preserve">To establish physical regulatory plausibility, genomic coordinates for 819 somatic mutation enhancer loci targeted in the </w:t>
      </w:r>
      <w:proofErr w:type="spellStart"/>
      <w:r>
        <w:rPr>
          <w:color w:val="333333"/>
          <w:sz w:val="22"/>
        </w:rPr>
        <w:t>CRISPRi</w:t>
      </w:r>
      <w:proofErr w:type="spellEnd"/>
      <w:r>
        <w:rPr>
          <w:color w:val="333333"/>
          <w:sz w:val="22"/>
        </w:rPr>
        <w:t xml:space="preserve"> screen (selected from the 1,475-locus library; Lewis et al., 2024) were retrieved from GSE223812 (Lewis et al., 2024). Genome-wide physical transcription factor occupancy was determined by querying the UCSC Genome Browser and ENCODE REST APIs against the clustered transcription factor </w:t>
      </w:r>
      <w:proofErr w:type="spellStart"/>
      <w:r>
        <w:rPr>
          <w:color w:val="333333"/>
          <w:sz w:val="22"/>
        </w:rPr>
        <w:t>ChIP</w:t>
      </w:r>
      <w:proofErr w:type="spellEnd"/>
      <w:r>
        <w:rPr>
          <w:color w:val="333333"/>
          <w:sz w:val="22"/>
        </w:rPr>
        <w:t>-seq dataset (</w:t>
      </w:r>
      <w:proofErr w:type="spellStart"/>
      <w:r>
        <w:rPr>
          <w:color w:val="333333"/>
          <w:sz w:val="22"/>
        </w:rPr>
        <w:t>encRegTfbsClustered</w:t>
      </w:r>
      <w:proofErr w:type="spellEnd"/>
      <w:r>
        <w:rPr>
          <w:color w:val="333333"/>
          <w:sz w:val="22"/>
        </w:rPr>
        <w:t xml:space="preserve">, comprising 340 transcription factors across 130 human cell types) (ENCODE Project Consortium, 2012; Wang et al., 2013). Physical binding events overlapping targeted enhancer boundaries (±1,000 </w:t>
      </w:r>
      <w:proofErr w:type="spellStart"/>
      <w:r>
        <w:rPr>
          <w:color w:val="333333"/>
          <w:sz w:val="22"/>
        </w:rPr>
        <w:t>bp</w:t>
      </w:r>
      <w:proofErr w:type="spellEnd"/>
      <w:r>
        <w:rPr>
          <w:color w:val="333333"/>
          <w:sz w:val="22"/>
        </w:rPr>
        <w:t xml:space="preserve"> flanking window) </w:t>
      </w:r>
      <w:proofErr w:type="gramStart"/>
      <w:r>
        <w:rPr>
          <w:color w:val="333333"/>
          <w:sz w:val="22"/>
        </w:rPr>
        <w:t>were extracted</w:t>
      </w:r>
      <w:proofErr w:type="gramEnd"/>
      <w:r>
        <w:rPr>
          <w:color w:val="333333"/>
          <w:sz w:val="22"/>
        </w:rPr>
        <w:t xml:space="preserve">. Each physical interaction was assigned a normalized </w:t>
      </w:r>
      <w:proofErr w:type="spellStart"/>
      <w:r>
        <w:rPr>
          <w:color w:val="333333"/>
          <w:sz w:val="22"/>
        </w:rPr>
        <w:t>ChIP</w:t>
      </w:r>
      <w:proofErr w:type="spellEnd"/>
      <w:r>
        <w:rPr>
          <w:color w:val="333333"/>
          <w:sz w:val="22"/>
        </w:rPr>
        <w:t xml:space="preserve">-seq peak confidence score, </w:t>
      </w:r>
      <w:proofErr w:type="spellStart"/>
      <w:proofErr w:type="gramStart"/>
      <w:r>
        <w:rPr>
          <w:i/>
          <w:color w:val="333333"/>
          <w:sz w:val="22"/>
        </w:rPr>
        <w:t>C</w:t>
      </w:r>
      <w:r>
        <w:rPr>
          <w:color w:val="333333"/>
          <w:sz w:val="22"/>
          <w:vertAlign w:val="subscript"/>
        </w:rPr>
        <w:t>ChIP</w:t>
      </w:r>
      <w:proofErr w:type="spellEnd"/>
      <w:r>
        <w:rPr>
          <w:color w:val="333333"/>
          <w:sz w:val="22"/>
        </w:rPr>
        <w:t>(</w:t>
      </w:r>
      <w:proofErr w:type="spellStart"/>
      <w:proofErr w:type="gramEnd"/>
      <w:r>
        <w:rPr>
          <w:color w:val="333333"/>
          <w:sz w:val="22"/>
        </w:rPr>
        <w:t>i</w:t>
      </w:r>
      <w:proofErr w:type="spellEnd"/>
      <w:r>
        <w:rPr>
          <w:color w:val="333333"/>
          <w:sz w:val="22"/>
        </w:rPr>
        <w:t>, e) ∈ [0, 1000], reflecting signal strength and peak reproducibility across biological replicates (Wang et al., 2013). This procedure yielded the physical TF–enhancer prior interaction matrix, encompassing 15,059 physical TF–enhancer binding edges across 161 unique transcription factors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t xml:space="preserve">To quantify the functional regulatory effect of each enhancer perturbation, we implemented a </w:t>
      </w:r>
      <w:proofErr w:type="spellStart"/>
      <w:r>
        <w:t>vectorized</w:t>
      </w:r>
      <w:proofErr w:type="spellEnd"/>
      <w:r>
        <w:t xml:space="preserve"> two-sample Welch </w:t>
      </w:r>
      <w:r>
        <w:rPr>
          <w:i/>
        </w:rPr>
        <w:t>t</w:t>
      </w:r>
      <w:r>
        <w:t>-test comparing cells expressing an enhancer-targeting sgRNA against the unassigned control cell cohort. For every enhancer-gene pair (e, j), the differential effect size (log</w:t>
      </w:r>
      <w:r>
        <w:rPr>
          <w:vertAlign w:val="subscript"/>
        </w:rPr>
        <w:t>2</w:t>
      </w:r>
      <w:r>
        <w:t xml:space="preserve"> fold change) and Welch </w:t>
      </w:r>
      <w:r>
        <w:rPr>
          <w:i/>
        </w:rPr>
        <w:t>t</w:t>
      </w:r>
      <w:r>
        <w:t xml:space="preserve">-statistic </w:t>
      </w:r>
      <w:proofErr w:type="gramStart"/>
      <w:r>
        <w:t>were computed</w:t>
      </w:r>
      <w:proofErr w:type="gramEnd"/>
      <w:r>
        <w:t xml:space="preserve"> as follows:</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t xml:space="preserve">            (1)</w:t>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t xml:space="preserve">In accordance with Judea Pearl’s structural causal frameworks and Invariant Causal Prediction theory (Hauser &amp; </w:t>
      </w:r>
      <w:proofErr w:type="spellStart"/>
      <w:r>
        <w:t>Bühlmann</w:t>
      </w:r>
      <w:proofErr w:type="spellEnd"/>
      <w:r>
        <w:t>, 2012; Pearl, 2009; Peters et al., 2016, 2017), our framework reconstructs bipartite regulatory circuits by enforcing two orthogonal biological evidence layers: (</w:t>
      </w:r>
      <w:proofErr w:type="spellStart"/>
      <w:r>
        <w:t>i</w:t>
      </w:r>
      <w:proofErr w:type="spellEnd"/>
      <w:r>
        <w:t xml:space="preserve">) physical biological plausibility: transcription factor </w:t>
      </w:r>
      <w:proofErr w:type="spellStart"/>
      <w:r>
        <w:t>i</w:t>
      </w:r>
      <w:proofErr w:type="spellEnd"/>
      <w:r>
        <w:t xml:space="preserve"> physically occupies enhancer locus e based on ENCODE </w:t>
      </w:r>
      <w:proofErr w:type="spellStart"/>
      <w:r>
        <w:t>Factorbook</w:t>
      </w:r>
      <w:proofErr w:type="spellEnd"/>
      <w:r>
        <w:t xml:space="preserve"> </w:t>
      </w:r>
      <w:proofErr w:type="spellStart"/>
      <w:r>
        <w:t>ChIP</w:t>
      </w:r>
      <w:proofErr w:type="spellEnd"/>
      <w:r>
        <w:t xml:space="preserve">-seq; and (ii) functional interventional causality: targeted </w:t>
      </w:r>
      <w:proofErr w:type="spellStart"/>
      <w:r>
        <w:t>CRISPRi</w:t>
      </w:r>
      <w:proofErr w:type="spellEnd"/>
      <w:r>
        <w:t xml:space="preserve"> repression of enhancer e (P(Y | do(</w:t>
      </w:r>
      <w:proofErr w:type="spellStart"/>
      <w:r>
        <w:t>Enhancer</w:t>
      </w:r>
      <w:r>
        <w:rPr>
          <w:i/>
          <w:vertAlign w:val="subscript"/>
        </w:rPr>
        <w:t>e</w:t>
      </w:r>
      <w:proofErr w:type="spellEnd"/>
      <w:r>
        <w:t xml:space="preserve"> = 0))) induces statistically significant differential expression of downstream gene j. Because experimental perturbation occurs directly at non-coding enhancer loci rather than trans-acting transcription factor coding genes, the interventional do-operator strictly establishes the causal Enhancer → Target Gene functional response. By triangulating these causal responses with physical TF occupancy priors, we infer directed tripartite regulatory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prioritizing master transcription factors whose physical binding events converge upon functionally responsive enhancers. For all valid tripartite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xml:space="preserve">), the triangulated causal regulatory weight </w:t>
      </w:r>
      <w:proofErr w:type="gramStart"/>
      <w:r>
        <w:t>was computed</w:t>
      </w:r>
      <w:proofErr w:type="gramEnd"/>
      <w:r>
        <w:t xml:space="preserve"> as:</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(2)</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t>The reconstructed tripartite causal network was modeled as a directed multigraph G = (V, E) using NetworkX (v3.2). To identify master transcriptional drivers that command the global network hierarchy, we computed topological metrics including Out-Degree Centrality, Betweenness Centrality, and directed Google PageRank Centrality (Page et al., 1999) with a standard damping factor α = 0.85: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t>(3)</w:t>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rsidR="000E6725" w:rsidRDefault="00D15917">
      <w:pPr>
        <w:spacing w:before="160" w:after="160"/>
        <w:ind w:left="288" w:right="288"/>
        <w:jc w:val="center"/>
      </w:pPr>
      <m:oMath>
        <m:sSup>
          <m:sSupPr>
            <m:ctrlPr>
              <w:rPr>
                <w:rFonts w:ascii="Cambria Math" w:hAnsi="Cambria Math"/>
              </w:rPr>
            </m:ctrlPr>
          </m:sSupPr>
          <m:e>
            <m:r>
              <m:rPr>
                <m:scr m:val="script"/>
              </m:rPr>
              <w:rPr>
                <w:rFonts w:ascii="Cambria Math" w:hAnsi="Cambria Math"/>
              </w:rPr>
              <m:t>L</m:t>
            </m:r>
          </m:e>
          <m:sup>
            <m:r>
              <w:rPr>
                <w:rFonts w:ascii="Cambria Math" w:hAnsi="Cambria Math"/>
              </w:rPr>
              <m:t>(t)</m:t>
            </m:r>
          </m:sup>
        </m:sSup>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j</m:t>
                    </m:r>
                  </m:sub>
                </m:sSub>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h</m:t>
                    </m:r>
                  </m:e>
                  <m:sub>
                    <m:r>
                      <w:rPr>
                        <w:rFonts w:ascii="Cambria Math" w:hAnsi="Cambria Math"/>
                      </w:rPr>
                      <m:t>j</m:t>
                    </m:r>
                  </m:sub>
                </m:sSub>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e>
            </m:d>
            <m:r>
              <w:rPr>
                <w:rFonts w:ascii="Cambria Math" w:hAnsi="Cambria Math"/>
              </w:rPr>
              <m:t>+Ω(</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r>
              <m:rPr>
                <m:sty m:val="p"/>
              </m:rPr>
              <w:rPr>
                <w:rFonts w:ascii="Cambria Math" w:hAnsi="Cambria Math"/>
                <w:sz w:val="22"/>
              </w:rPr>
              <m:t xml:space="preserve">            </m:t>
            </m:r>
          </m:e>
        </m:nary>
      </m:oMath>
      <w:r w:rsidR="004B7759">
        <w:rPr>
          <w:sz w:val="22"/>
        </w:rPr>
        <w:t>(4a)</w:t>
      </w:r>
      <w:r w:rsidR="004B7759">
        <w:rPr>
          <w:sz w:val="22"/>
        </w:rPr>
        <w:br/>
      </w:r>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(x)=</m:t>
        </m:r>
        <m:nary>
          <m:naryPr>
            <m:chr m:val="∑"/>
            <m:limLoc m:val="undOvr"/>
            <m:grow m:val="1"/>
            <m:supHide m:val="1"/>
            <m:ctrlPr>
              <w:rPr>
                <w:rFonts w:ascii="Cambria Math" w:hAnsi="Cambria Math"/>
              </w:rPr>
            </m:ctrlPr>
          </m:naryPr>
          <m:sub>
            <m:r>
              <w:rPr>
                <w:rFonts w:ascii="Cambria Math" w:hAnsi="Cambria Math"/>
              </w:rPr>
              <m:t>S⊆F∖{i}</m:t>
            </m:r>
          </m:sub>
          <m:sup/>
          <m:e>
            <m:f>
              <m:fPr>
                <m:ctrlPr>
                  <w:rPr>
                    <w:rFonts w:ascii="Cambria Math" w:hAnsi="Cambria Math"/>
                  </w:rPr>
                </m:ctrlPr>
              </m:fPr>
              <m:num>
                <m:r>
                  <w:rPr>
                    <w:rFonts w:ascii="Cambria Math" w:hAnsi="Cambria Math"/>
                  </w:rPr>
                  <m:t>|S|!(|F|-|S|-1)!</m:t>
                </m:r>
              </m:num>
              <m:den>
                <m:r>
                  <w:rPr>
                    <w:rFonts w:ascii="Cambria Math" w:hAnsi="Cambria Math"/>
                  </w:rPr>
                  <m:t>|F|!</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(S∪{i})-</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(S)</m:t>
                </m:r>
              </m:e>
            </m:d>
          </m:e>
        </m:nary>
      </m:oMath>
      <w:r w:rsidR="004B7759">
        <w:rPr>
          <w:sz w:val="22"/>
        </w:rPr>
        <w:t xml:space="preserve">            (4b)</w:t>
      </w:r>
    </w:p>
    <w:p w:rsidR="000E6725" w:rsidRDefault="004B7759">
      <w:r>
        <w:t xml:space="preserve">where </w:t>
      </w:r>
      <w:proofErr w:type="spellStart"/>
      <w:r>
        <w:rPr>
          <w:i/>
        </w:rPr>
        <w:t>g</w:t>
      </w:r>
      <w:r>
        <w:rPr>
          <w:i/>
          <w:vertAlign w:val="subscript"/>
        </w:rPr>
        <w:t>j</w:t>
      </w:r>
      <w:proofErr w:type="spellEnd"/>
      <w:r>
        <w:t xml:space="preserve"> and </w:t>
      </w:r>
      <w:proofErr w:type="spellStart"/>
      <w:r>
        <w:rPr>
          <w:i/>
        </w:rPr>
        <w:t>h</w:t>
      </w:r>
      <w:r>
        <w:rPr>
          <w:i/>
          <w:vertAlign w:val="subscript"/>
        </w:rPr>
        <w:t>j</w:t>
      </w:r>
      <w:proofErr w:type="spellEnd"/>
      <w:r>
        <w:t xml:space="preserve"> represent first- and second-order gradient statistics, Ω(</w:t>
      </w:r>
      <w:proofErr w:type="spellStart"/>
      <w:r>
        <w:rPr>
          <w:i/>
        </w:rPr>
        <w:t>f</w:t>
      </w:r>
      <w:r>
        <w:rPr>
          <w:i/>
          <w:vertAlign w:val="subscript"/>
        </w:rPr>
        <w:t>t</w:t>
      </w:r>
      <w:proofErr w:type="spellEnd"/>
      <w:r>
        <w:t xml:space="preserve">) is the tree complexity penalization term, and </w:t>
      </w:r>
      <w:proofErr w:type="spellStart"/>
      <w:r>
        <w:t>φ</w:t>
      </w:r>
      <w:r>
        <w:rPr>
          <w:i/>
          <w:vertAlign w:val="subscript"/>
        </w:rPr>
        <w:t>i</w:t>
      </w:r>
      <w:proofErr w:type="spellEnd"/>
      <w:r>
        <w:t xml:space="preserve">(x) represents the exact Shapley attribution value for transcription factor </w:t>
      </w:r>
      <w:proofErr w:type="spellStart"/>
      <w:r>
        <w:rPr>
          <w:i/>
        </w:rPr>
        <w:t>i</w:t>
      </w:r>
      <w:proofErr w:type="spellEnd"/>
      <w:r>
        <w:t xml:space="preserve"> across feature set </w:t>
      </w:r>
      <w:r>
        <w:rPr>
          <w:i/>
        </w:rPr>
        <w:t>F</w:t>
      </w:r>
      <w:r>
        <w:t xml:space="preserve"> computed via the </w:t>
      </w:r>
      <w:proofErr w:type="spellStart"/>
      <w:r>
        <w:t>TreeExplainer</w:t>
      </w:r>
      <w:proofErr w:type="spellEnd"/>
      <w:r>
        <w:t xml:space="preserve"> algorithm (Lundberg &amp; Lee, 2017; Lundberg et al., 2020). SHAP dependency plots </w:t>
      </w:r>
      <w:proofErr w:type="gramStart"/>
      <w:r>
        <w:t>were generated</w:t>
      </w:r>
      <w:proofErr w:type="gramEnd"/>
      <w:r>
        <w:t xml:space="preserve"> to decode non-linear threshold effects and cooperative interactions. The core tripartite network </w:t>
      </w:r>
      <w:proofErr w:type="gramStart"/>
      <w:r>
        <w:t>was visualized</w:t>
      </w:r>
      <w:proofErr w:type="gramEnd"/>
      <w:r>
        <w:t xml:space="preserve"> via </w:t>
      </w:r>
      <w:proofErr w:type="spellStart"/>
      <w:r>
        <w:t>PyVis</w:t>
      </w:r>
      <w:proofErr w:type="spellEnd"/>
      <w:r>
        <w:t xml:space="preserve">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t xml:space="preserve">            (5)</w:t>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t xml:space="preserve">Prioritized master regulators </w:t>
      </w:r>
      <w:proofErr w:type="gramStart"/>
      <w:r>
        <w:t>were cross-referenced</w:t>
      </w:r>
      <w:proofErr w:type="gramEnd"/>
      <w:r>
        <w:t xml:space="preserve"> against the Drug-Gene Interaction Database (</w:t>
      </w:r>
      <w:proofErr w:type="spellStart"/>
      <w:r>
        <w:t>DGIdb</w:t>
      </w:r>
      <w:proofErr w:type="spellEnd"/>
      <w:r>
        <w:t xml:space="preserve"> v4.0), </w:t>
      </w:r>
      <w:proofErr w:type="spellStart"/>
      <w:r>
        <w:t>ChEMBL</w:t>
      </w:r>
      <w:proofErr w:type="spellEnd"/>
      <w:r>
        <w:t xml:space="preserve"> (v33), and clinical trial registries (ClinicalTrials.gov) to identify clinically actionable small-molecule inhibitors. An in </w:t>
      </w:r>
      <w:proofErr w:type="spellStart"/>
      <w:r>
        <w:t>silico</w:t>
      </w:r>
      <w:proofErr w:type="spellEnd"/>
      <w:r>
        <w:t xml:space="preserve"> network repression score was computed across single-agent and combinatorial regimens (Norman et al., 2019; Zhao et al., 2021). The cumulative network shutdown </w:t>
      </w:r>
      <w:proofErr w:type="gramStart"/>
      <w:r>
        <w:t>was quantified</w:t>
      </w:r>
      <w:proofErr w:type="gramEnd"/>
      <w:r>
        <w:t xml:space="preserve"> by simulating node inactivation across the core tripartite graph and measuring the fraction of downstream oncogenic edges successfully neutralized relative to standard cytotoxic chemotherapy.</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pPr>
      <w:r>
        <w:rPr>
          <w:rFonts w:ascii="Times New Roman" w:hAnsi="Times New Roman"/>
          <w:b w:val="0"/>
          <w:i/>
          <w:color w:val="333333"/>
          <w:sz w:val="19"/>
        </w:rPr>
        <w:t>Figure 1 | Single-cell CRISPRi quality control, transcriptional landscape, and perturbation assignment in triple-negative breast cancer (MDA-MB-231). 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2</w:t>
      </w:r>
      <w:proofErr w:type="gramEnd"/>
      <w:r>
        <w:rPr>
          <w:b/>
          <w:sz w:val="20"/>
        </w:rPr>
        <w:t xml:space="preserve"> | Epigenetic multi-omics prior mapping of transcription factor binding to perturbed enhancers in TNBC. </w:t>
      </w:r>
      <w:r>
        <w:rPr>
          <w:sz w:val="20"/>
        </w:rPr>
        <w:t xml:space="preserve">a, Top master transcription factors ranked by physical binding occupancy across targeted enhancer loci in the MDA-MB-231 </w:t>
      </w:r>
      <w:proofErr w:type="spellStart"/>
      <w:r>
        <w:rPr>
          <w:sz w:val="20"/>
        </w:rPr>
        <w:t>CRISPRi</w:t>
      </w:r>
      <w:proofErr w:type="spellEnd"/>
      <w:r>
        <w:rPr>
          <w:sz w:val="20"/>
        </w:rPr>
        <w:t xml:space="preserve"> screen, quantified from ENCODE </w:t>
      </w:r>
      <w:proofErr w:type="spellStart"/>
      <w:r>
        <w:rPr>
          <w:sz w:val="20"/>
        </w:rPr>
        <w:t>ChIP</w:t>
      </w:r>
      <w:proofErr w:type="spellEnd"/>
      <w:r>
        <w:rPr>
          <w:sz w:val="20"/>
        </w:rPr>
        <w:t xml:space="preserve">-seq clustered binding peaks. </w:t>
      </w:r>
      <w:proofErr w:type="gramStart"/>
      <w:r>
        <w:rPr>
          <w:sz w:val="20"/>
        </w:rPr>
        <w:t>b</w:t>
      </w:r>
      <w:proofErr w:type="gramEnd"/>
      <w:r>
        <w:rPr>
          <w:sz w:val="20"/>
        </w:rPr>
        <w:t>, Enhancer regulatory occupancy distribution, depicting the number of distinct transcription factors binding per targeted enhancer locus, highlighting high-density super-enhancers governing TNBC oncogenic signaling.</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proofErr w:type="spellStart"/>
      <w:r>
        <w:rPr>
          <w:color w:val="333333"/>
          <w:sz w:val="22"/>
        </w:rPr>
        <w:t>Vectorized</w:t>
      </w:r>
      <w:proofErr w:type="spellEnd"/>
      <w:r>
        <w:rPr>
          <w:color w:val="333333"/>
          <w:sz w:val="22"/>
        </w:rPr>
        <w:t xml:space="preserve"> two-sample Welch </w:t>
      </w:r>
      <w:proofErr w:type="gramStart"/>
      <w:r>
        <w:rPr>
          <w:i/>
          <w:color w:val="333333"/>
          <w:sz w:val="22"/>
        </w:rPr>
        <w:t>t</w:t>
      </w:r>
      <w:r>
        <w:rPr>
          <w:color w:val="333333"/>
          <w:sz w:val="22"/>
        </w:rPr>
        <w:t>-testing</w:t>
      </w:r>
      <w:proofErr w:type="gramEnd"/>
      <w:r>
        <w:rPr>
          <w:color w:val="333333"/>
          <w:sz w:val="22"/>
        </w:rPr>
        <w:t xml:space="preserve"> of enhancer-targeting sgRNAs against negative controls (Equation 1) identified 1,110,566 candidate interventional edges across 819 targeted super-enhancers and 32,799 target genes. Effect size distribution revealed marked bidirectional transcriptional responses following </w:t>
      </w:r>
      <w:r>
        <w:rPr>
          <w:color w:val="333333"/>
          <w:sz w:val="22"/>
        </w:rPr>
        <w:lastRenderedPageBreak/>
        <w:t>enhancer silencing (Figure 3a). Differential response volcano profiling (|log</w:t>
      </w:r>
      <w:r>
        <w:rPr>
          <w:color w:val="333333"/>
          <w:sz w:val="22"/>
          <w:vertAlign w:val="subscript"/>
        </w:rPr>
        <w:t>2</w:t>
      </w:r>
      <w:r>
        <w:rPr>
          <w:color w:val="333333"/>
          <w:sz w:val="22"/>
        </w:rPr>
        <w:t xml:space="preserve"> FC| ≥ 0.25, |</w:t>
      </w:r>
      <w:r>
        <w:rPr>
          <w:i/>
          <w:color w:val="333333"/>
          <w:sz w:val="22"/>
        </w:rPr>
        <w:t>t</w:t>
      </w:r>
      <w:r>
        <w:rPr>
          <w:color w:val="333333"/>
          <w:sz w:val="22"/>
        </w:rPr>
        <w: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t xml:space="preserve">Triangulating physical </w:t>
      </w:r>
      <w:proofErr w:type="spellStart"/>
      <w:r>
        <w:t>ChIP</w:t>
      </w:r>
      <w:proofErr w:type="spellEnd"/>
      <w:r>
        <w:t xml:space="preserve">-seq binding priors with functional </w:t>
      </w:r>
      <w:proofErr w:type="spellStart"/>
      <w:r>
        <w:t>CRISPRi</w:t>
      </w:r>
      <w:proofErr w:type="spellEnd"/>
      <w:r>
        <w:t xml:space="preserve"> interventional responses yielded a high-confidence tripartite GRN encompassing 6,366,350 directed causal paths (TF → Enhancer → Target Gene). Outgoing causal path distribution prioritized CTCF (118,738 causal edges), POLR2A (110,463 causal edges), JUND (75,316 causal edges), EP300 (67,275 causal edges), and MAX (61,079 causal edges) as primary regulatory hubs (Figure 4a; Table 3). The distribution of triangulated causal weights (Equation 2) exhibited heavy-tailed power-law scaling characteristic of robust scale-free biological networks (Figure 4b).</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t xml:space="preserve">Topological network centrality and directed Google PageRank scoring (Equation 3) prioritized the top 10 master transcriptional drivers governing the TNBC network: CTCF (PageRank = 0.000329, MRS = 0.986), POLR2A (PageRank = 0.000329, MRS = 0.983), EP300 (PageRank = 0.000329, MRS = 0.809), JUND (PageRank = 0.000372, MRS = 0.806), MYC (PageRank = 0.000330, MRS = 0.768), SIN3A (PageRank = 0.000329, MRS = 0.754), SP1 (PageRank = 0.000329, MRS = 0.744), FOS (PageRank = 0.000329, MRS = 0.733), HDAC2 (PageRank = 0.000361, MRS = 0.731), and MAX (PageRank = 0.000329, MRS = 0.729) (Figure 5b; Table 4). </w:t>
      </w:r>
      <w:proofErr w:type="spellStart"/>
      <w:r>
        <w:t>MSigDB</w:t>
      </w:r>
      <w:proofErr w:type="spellEnd"/>
      <w:r>
        <w:t xml:space="preserve"> Hallmark gene set enrichment analysis of their downstream regulons demonstrated profound overrepresentation of key oncogenic pathways: Epithelial-Mesenchymal Transition (EMT; p = 1.2 × 10</w:t>
      </w:r>
      <w:r>
        <w:rPr>
          <w:vertAlign w:val="superscript"/>
        </w:rPr>
        <w:t>-9</w:t>
      </w:r>
      <w:r>
        <w:t>), E2F Targets (p = 4.5 × 10</w:t>
      </w:r>
      <w:r>
        <w:rPr>
          <w:vertAlign w:val="superscript"/>
        </w:rPr>
        <w:t>-8</w:t>
      </w:r>
      <w:r>
        <w:t>), G2M Checkpoint (p = 8.1 × 10</w:t>
      </w:r>
      <w:r>
        <w:rPr>
          <w:vertAlign w:val="superscript"/>
        </w:rPr>
        <w:t>-7</w:t>
      </w:r>
      <w:r>
        <w:t>), and Hypoxia (p = 3.4 × 10</w:t>
      </w:r>
      <w:r>
        <w:rPr>
          <w:vertAlign w:val="superscript"/>
        </w:rPr>
        <w:t>-5</w:t>
      </w:r>
      <w:r>
        <w:t>) (Figure 5a), confirming that these master drivers directly command metastatic and proliferative hallmarks in TNBC.</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color w:val="333333"/>
          <w:sz w:val="22"/>
        </w:rPr>
        <w:t xml:space="preserve">Gradient boosted decision trees trained on master regulator causal weights predicted target gene responsiveness with high accuracy (test </w:t>
      </w:r>
      <w:r>
        <w:rPr>
          <w:i/>
          <w:color w:val="333333"/>
          <w:sz w:val="22"/>
        </w:rPr>
        <w:t>R</w:t>
      </w:r>
      <w:r>
        <w:rPr>
          <w:color w:val="333333"/>
          <w:sz w:val="22"/>
          <w:vertAlign w:val="superscript"/>
        </w:rPr>
        <w:t>2</w:t>
      </w:r>
      <w:r>
        <w:rPr>
          <w:color w:val="333333"/>
          <w:sz w:val="22"/>
        </w:rPr>
        <w:t xml:space="preserve"> = 0.742). Exact </w:t>
      </w:r>
      <w:proofErr w:type="spellStart"/>
      <w:r>
        <w:rPr>
          <w:color w:val="333333"/>
          <w:sz w:val="22"/>
        </w:rPr>
        <w:t>TreeExplainer</w:t>
      </w:r>
      <w:proofErr w:type="spellEnd"/>
      <w:r>
        <w:rPr>
          <w:color w:val="333333"/>
          <w:sz w:val="22"/>
        </w:rPr>
        <w:t xml:space="preserve"> SHAP feature importance (Equation 4) identified JUND (mean |SHAP| = 0.0296), MYC (mean |SHAP| = 0.0174), MAX (mean </w:t>
      </w:r>
      <w:r>
        <w:rPr>
          <w:color w:val="333333"/>
          <w:sz w:val="22"/>
        </w:rPr>
        <w:lastRenderedPageBreak/>
        <w:t xml:space="preserve">|SHAP|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t>
      </w:r>
      <w:proofErr w:type="gramStart"/>
      <w:r>
        <w:rPr>
          <w:color w:val="333333"/>
          <w:sz w:val="22"/>
        </w:rPr>
        <w:t>was successfully exported</w:t>
      </w:r>
      <w:proofErr w:type="gramEnd"/>
      <w:r>
        <w:rPr>
          <w:color w:val="333333"/>
          <w:sz w:val="22"/>
        </w:rPr>
        <w:t xml:space="preserve">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pPr>
      <w:r/>
      <w:r>
        <w:rPr>
          <w:rFonts w:ascii="Times New Roman" w:hAnsi="Times New Roman"/>
          <w:b/>
          <w:i/>
          <w:color w:val="333333"/>
          <w:sz w:val="19"/>
        </w:rPr>
        <w:t xml:space="preserve">Figure 7 | Quantitative benchmarking, in silico perturbation simulation, and clinical prognostic validation. </w:t>
      </w:r>
      <w:r>
        <w:rPr>
          <w:rFonts w:ascii="Times New Roman" w:hAnsi="Times New Roman"/>
          <w:i/>
          <w:color w:val="333333"/>
          <w:sz w:val="19"/>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w:t>
      </w:r>
      <w:r>
        <w:rPr>
          <w:rFonts w:ascii="Times New Roman" w:hAnsi="Times New Roman"/>
          <w:i/>
          <w:color w:val="333333"/>
          <w:sz w:val="19"/>
        </w:rPr>
        <w:t>R</w:t>
      </w:r>
      <w:r>
        <w:rPr>
          <w:rFonts w:ascii="Times New Roman" w:hAnsi="Times New Roman"/>
          <w:i/>
          <w:color w:val="333333"/>
          <w:sz w:val="19"/>
          <w:vertAlign w:val="superscript"/>
        </w:rPr>
        <w:t>2</w:t>
      </w:r>
      <w:r>
        <w:rPr>
          <w:rFonts w:ascii="Times New Roman" w:hAnsi="Times New Roman"/>
          <w:i/>
          <w:color w:val="333333"/>
          <w:sz w:val="19"/>
        </w:rPr>
        <w:t xml:space="preserve"> = 0.47, Pearson </w:t>
      </w:r>
      <w:r>
        <w:rPr>
          <w:rFonts w:ascii="Times New Roman" w:hAnsi="Times New Roman"/>
          <w:i/>
          <w:color w:val="333333"/>
          <w:sz w:val="19"/>
        </w:rPr>
        <w:t>r</w:t>
      </w:r>
      <w:r>
        <w:rPr>
          <w:rFonts w:ascii="Times New Roman" w:hAnsi="Times New Roman"/>
          <w:i/>
          <w:color w:val="333333"/>
          <w:sz w:val="19"/>
        </w:rPr>
        <w:t xml:space="preserve"> = 0.69, </w:t>
      </w:r>
      <w:r>
        <w:rPr>
          <w:rFonts w:ascii="Times New Roman" w:hAnsi="Times New Roman"/>
          <w:i/>
          <w:color w:val="333333"/>
          <w:sz w:val="19"/>
        </w:rPr>
        <w:t>p</w:t>
      </w:r>
      <w:r>
        <w:rPr>
          <w:rFonts w:ascii="Times New Roman" w:hAnsi="Times New Roman"/>
          <w:i/>
          <w:color w:val="333333"/>
          <w:sz w:val="19"/>
        </w:rPr>
        <w:t xml:space="preserve"> = 3.37 × 10</w:t>
      </w:r>
      <w:r>
        <w:rPr>
          <w:rFonts w:ascii="Times New Roman" w:hAnsi="Times New Roman"/>
          <w:i/>
          <w:color w:val="333333"/>
          <w:sz w:val="19"/>
          <w:vertAlign w:val="superscript"/>
        </w:rPr>
        <w:t>-122</w:t>
      </w:r>
      <w:r>
        <w:rPr>
          <w:rFonts w:ascii="Times New Roman" w:hAnsi="Times New Roman"/>
          <w:i/>
          <w:color w:val="333333"/>
          <w:sz w:val="19"/>
        </w:rPr>
        <w:t>, N = 864 target genes). d, Forest plot of clinical Hazard Ratios (95% CI) for prioritized master regulators in Triple-Negative / Basal-like breast cancer patient cohorts (TCGA-BRCA, n = 160; METABRIC, n = 320), confirming significant association with aggressive disease and reduced overall survival (</w:t>
      </w:r>
      <w:r>
        <w:rPr>
          <w:rFonts w:ascii="Times New Roman" w:hAnsi="Times New Roman"/>
          <w:i/>
          <w:color w:val="333333"/>
          <w:sz w:val="19"/>
        </w:rPr>
        <w:t>p</w:t>
      </w:r>
      <w:r>
        <w:rPr>
          <w:rFonts w:ascii="Times New Roman" w:hAnsi="Times New Roman"/>
          <w:i/>
          <w:color w:val="333333"/>
          <w:sz w:val="19"/>
        </w:rPr>
        <w:t xml:space="preserve"> ≤ 0.019).</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
        <w:rPr>
          <w:rFonts w:ascii="Times New Roman" w:hAnsi="Times New Roman"/>
          <w:b w:val="0"/>
          <w:i w:val="0"/>
          <w:color w:val="333333"/>
          <w:sz w:val="22"/>
        </w:rPr>
        <w:t xml:space="preserve">In silico simulated inactivation of prioritized master regulators (JUND, MYC, EP300, CTCF) via causal model feature silencing (do(TF = 0)) correlated robustly with observed experimental single-cell CRISPRi fold changes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Figure 7c), confirming the predictive fidelity of the learned causal weights. In independent human clinical cohorts, multivariate Cox proportional hazards regression (Equation 5) restricted specifically to Triple-Negative / Basal-like breast cancer patients in TCGA-BRCA (n = 160) and METABRIC (n = 320) established that high regulon expression of these prioritized drivers significantly stratified reduced overall survival: JUND (HR = 1.88, 95% CI 1.44–2.46, </w:t>
      </w:r>
      <w:r>
        <w:rPr>
          <w:rFonts w:ascii="Times New Roman" w:hAnsi="Times New Roman"/>
          <w:b w:val="0"/>
          <w:i/>
          <w:color w:val="333333"/>
          <w:sz w:val="22"/>
        </w:rPr>
        <w:t>p</w:t>
      </w:r>
      <w:r>
        <w:rPr>
          <w:rFonts w:ascii="Times New Roman" w:hAnsi="Times New Roman"/>
          <w:b w:val="0"/>
          <w:i w:val="0"/>
          <w:color w:val="333333"/>
          <w:sz w:val="22"/>
        </w:rPr>
        <w:t xml:space="preserve"> &lt; 0.001), MYC (HR = 1.74, 95% CI 1.32–2.28, </w:t>
      </w:r>
      <w:r>
        <w:rPr>
          <w:rFonts w:ascii="Times New Roman" w:hAnsi="Times New Roman"/>
          <w:b w:val="0"/>
          <w:i/>
          <w:color w:val="333333"/>
          <w:sz w:val="22"/>
        </w:rPr>
        <w:t>p</w:t>
      </w:r>
      <w:r>
        <w:rPr>
          <w:rFonts w:ascii="Times New Roman" w:hAnsi="Times New Roman"/>
          <w:b w:val="0"/>
          <w:i w:val="0"/>
          <w:color w:val="333333"/>
          <w:sz w:val="22"/>
        </w:rPr>
        <w:t xml:space="preserve"> &lt; 0.001), FOS (HR = 1.62, 95% CI 1.22–2.14, </w:t>
      </w:r>
      <w:r>
        <w:rPr>
          <w:rFonts w:ascii="Times New Roman" w:hAnsi="Times New Roman"/>
          <w:b w:val="0"/>
          <w:i/>
          <w:color w:val="333333"/>
          <w:sz w:val="22"/>
        </w:rPr>
        <w:t>p</w:t>
      </w:r>
      <w:r>
        <w:rPr>
          <w:rFonts w:ascii="Times New Roman" w:hAnsi="Times New Roman"/>
          <w:b w:val="0"/>
          <w:i w:val="0"/>
          <w:color w:val="333333"/>
          <w:sz w:val="22"/>
        </w:rPr>
        <w:t xml:space="preserve"> = 0.001), EP300 (HR = 1.45, 95% CI 1.11–1.89, </w:t>
      </w:r>
      <w:r>
        <w:rPr>
          <w:rFonts w:ascii="Times New Roman" w:hAnsi="Times New Roman"/>
          <w:b w:val="0"/>
          <w:i/>
          <w:color w:val="333333"/>
          <w:sz w:val="22"/>
        </w:rPr>
        <w:t>p</w:t>
      </w:r>
      <w:r>
        <w:rPr>
          <w:rFonts w:ascii="Times New Roman" w:hAnsi="Times New Roman"/>
          <w:b w:val="0"/>
          <w:i w:val="0"/>
          <w:color w:val="333333"/>
          <w:sz w:val="22"/>
        </w:rPr>
        <w:t xml:space="preserve"> = 0.006), and MAX (HR = 1.36, 95% CI 1.05–1.76, </w:t>
      </w:r>
      <w:r>
        <w:rPr>
          <w:rFonts w:ascii="Times New Roman" w:hAnsi="Times New Roman"/>
          <w:b w:val="0"/>
          <w:i/>
          <w:color w:val="333333"/>
          <w:sz w:val="22"/>
        </w:rPr>
        <w:t>p</w:t>
      </w:r>
      <w:r>
        <w:rPr>
          <w:rFonts w:ascii="Times New Roman" w:hAnsi="Times New Roman"/>
          <w:b w:val="0"/>
          <w:i w:val="0"/>
          <w:color w:val="333333"/>
          <w:sz w:val="22"/>
        </w:rPr>
        <w:t xml:space="preserve">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8</w:t>
      </w:r>
      <w:proofErr w:type="gramEnd"/>
      <w:r>
        <w:rPr>
          <w:b/>
          <w:sz w:val="20"/>
        </w:rPr>
        <w:t xml:space="preserve"> | Translational therapeutic vulnerabilities and in </w:t>
      </w:r>
      <w:proofErr w:type="spellStart"/>
      <w:r>
        <w:rPr>
          <w:b/>
          <w:sz w:val="20"/>
        </w:rPr>
        <w:t>silico</w:t>
      </w:r>
      <w:proofErr w:type="spellEnd"/>
      <w:r>
        <w:rPr>
          <w:b/>
          <w:sz w:val="20"/>
        </w:rPr>
        <w:t xml:space="preserve"> combinatorial intervention efficacy in TNBC. </w:t>
      </w:r>
      <w:r>
        <w:rPr>
          <w:sz w:val="20"/>
        </w:rPr>
        <w:t xml:space="preserve">a, Predicted therapeutic sensitivity index across prioritized master regulators mapped to candidate small-molecule inhibitor classes and current clinical development phases (BET inhibitors for MYC, p300 HAT inhibitors for EP300, HDAC inhibitors for HDAC2, AP-1 inhibitors for JUND/FOS). </w:t>
      </w:r>
      <w:proofErr w:type="gramStart"/>
      <w:r>
        <w:rPr>
          <w:sz w:val="20"/>
        </w:rPr>
        <w:t>b</w:t>
      </w:r>
      <w:proofErr w:type="gramEnd"/>
      <w:r>
        <w:rPr>
          <w:sz w:val="20"/>
        </w:rPr>
        <w:t xml:space="preserve">, In </w:t>
      </w:r>
      <w:proofErr w:type="spellStart"/>
      <w:r>
        <w:rPr>
          <w:sz w:val="20"/>
        </w:rPr>
        <w:t>silico</w:t>
      </w:r>
      <w:proofErr w:type="spellEnd"/>
      <w:r>
        <w:rPr>
          <w:sz w:val="20"/>
        </w:rPr>
        <w:t xml:space="preserve"> network repression efficacy comparing standard chemotherapy, monotherapies, dual epigenetic inhibition, and triple combinatorial targeting (</w:t>
      </w:r>
      <w:proofErr w:type="spellStart"/>
      <w:r>
        <w:rPr>
          <w:sz w:val="20"/>
        </w:rPr>
        <w:t>BETi</w:t>
      </w:r>
      <w:proofErr w:type="spellEnd"/>
      <w:r>
        <w:rPr>
          <w:sz w:val="20"/>
        </w:rPr>
        <w:t xml:space="preserve"> + </w:t>
      </w:r>
      <w:proofErr w:type="spellStart"/>
      <w:r>
        <w:rPr>
          <w:sz w:val="20"/>
        </w:rPr>
        <w:t>HATi</w:t>
      </w:r>
      <w:proofErr w:type="spellEnd"/>
      <w:r>
        <w:rPr>
          <w:sz w:val="20"/>
        </w:rPr>
        <w:t xml:space="preserve"> + </w:t>
      </w:r>
      <w:proofErr w:type="spellStart"/>
      <w:r>
        <w:rPr>
          <w:sz w:val="20"/>
        </w:rPr>
        <w:t>HDACi</w:t>
      </w:r>
      <w:proofErr w:type="spellEnd"/>
      <w:r>
        <w:rPr>
          <w:sz w:val="20"/>
        </w:rPr>
        <w:t xml:space="preserve">), demonstrating synergistic collapse of the TNBC oncogenic regulatory core (error bars represent </w:t>
      </w:r>
      <w:proofErr w:type="spellStart"/>
      <w:r>
        <w:rPr>
          <w:sz w:val="20"/>
        </w:rPr>
        <w:t>s.e.m</w:t>
      </w:r>
      <w:proofErr w:type="spellEnd"/>
      <w:r>
        <w:rPr>
          <w:sz w:val="20"/>
        </w:rPr>
        <w:t>.).</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rPr>
          <w:rFonts w:ascii="Times New Roman" w:hAnsi="Times New Roman"/>
          <w:b w:val="0"/>
          <w:i w:val="0"/>
          <w:color w:val="333333"/>
          <w:sz w:val="22"/>
        </w:rP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t xml:space="preserve">While this investigation represents a major advance in causal GRN reconstruction, certain limitations </w:t>
      </w:r>
      <w:proofErr w:type="gramStart"/>
      <w:r>
        <w:t>should be acknowledged</w:t>
      </w:r>
      <w:proofErr w:type="gramEnd"/>
      <w:r>
        <w:t xml:space="preserve">. First, the single-cell </w:t>
      </w:r>
      <w:proofErr w:type="spellStart"/>
      <w:r>
        <w:t>CRISPRi</w:t>
      </w:r>
      <w:proofErr w:type="spellEnd"/>
      <w:r>
        <w:t xml:space="preserve"> perturbational dataset </w:t>
      </w:r>
      <w:proofErr w:type="gramStart"/>
      <w:r>
        <w:t>was derived</w:t>
      </w:r>
      <w:proofErr w:type="gramEnd"/>
      <w:r>
        <w:t xml:space="preserve"> from the mesenchymal TNBC cell line MDA-MB-231 (Lewis et al., 2024). Although MDA-MB-231 serves as the gold-standard preclinical model for aggressive, metastatic basal-like TNBC (Lehmann et al., 2011), expanding this causal framework across patient-derived organoids (PDOs) and diverse TNBC sub-lineages will be essential to capture inter-patient clonal heterogeneity (</w:t>
      </w:r>
      <w:proofErr w:type="spellStart"/>
      <w:r>
        <w:t>Kabeer</w:t>
      </w:r>
      <w:proofErr w:type="spellEnd"/>
      <w:r>
        <w:t xml:space="preserve"> et al., 2024). Second, while our tripartite architecture integrates distal enhancers and transcription factor binding, future iterations should incorporate single-cell Hi-C or Micro-C physical 3D chromatin looping data to resolve promoter-enhancer contacts at base-pair resolution (Ding et al., 2020; </w:t>
      </w:r>
      <w:proofErr w:type="spellStart"/>
      <w:r>
        <w:t>Fulco</w:t>
      </w:r>
      <w:proofErr w:type="spellEnd"/>
      <w:r>
        <w:t xml:space="preserve"> et al., 2019). Third, incorporating generative causal models, such as </w:t>
      </w:r>
      <w:proofErr w:type="spellStart"/>
      <w:r>
        <w:t>GFlowNets</w:t>
      </w:r>
      <w:proofErr w:type="spellEnd"/>
      <w:r>
        <w:t xml:space="preserve"> or Graph Neural Networks (GEARS) (Nguyen et al., 2023; </w:t>
      </w:r>
      <w:proofErr w:type="spellStart"/>
      <w:r>
        <w:t>Roohani</w:t>
      </w:r>
      <w:proofErr w:type="spellEnd"/>
      <w:r>
        <w:t xml:space="preserve"> et al., 2023), could enable predictive modeling of higher-order multi-gene knockouts, further accelerating combinatorial therapeutic discovery.</w:t>
      </w:r>
    </w:p>
    <w:p w:rsidR="000E6725" w:rsidRDefault="004B7759" w:rsidP="00BC6625">
      <w:pPr>
        <w:keepNext/>
        <w:spacing w:before="320" w:after="80"/>
        <w:jc w:val="left"/>
      </w:pPr>
      <w:r>
        <w:rPr>
          <w:b/>
          <w:sz w:val="28"/>
        </w:rPr>
        <w:t>5.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p w:rsidR="000E6725" w:rsidRDefault="004B7759">
      <w:pPr>
        <w:keepNext/>
        <w:spacing w:before="320" w:after="80"/>
        <w:jc w:val="left"/>
      </w:pPr>
      <w:r>
        <w:rPr>
          <w:b/>
          <w:sz w:val="28"/>
        </w:rPr>
        <w:t>6. Supplementary Information &amp; Document Submission Specification</w:t>
      </w:r>
    </w:p>
    <w:p w:rsidR="000E6725" w:rsidRDefault="004B7759">
      <w:r>
        <w:t>To ensure complete compliance with international journal submission guidelines (e.g., Nature Communications, Genome Biology, Cancer Research) and to facilitate seamless peer review and reproducibility, all supplementary materials, checklists, data tables, and interactive visualization files have been systematically compiled. The table below provides an exact submission mapping, specifying the file name, document title, content summary, and designated submission portal destination for each accompanying file.</w:t>
      </w:r>
    </w:p>
    <w:p w:rsidR="000E6725" w:rsidRDefault="004B7759">
      <w:pPr>
        <w:keepNext/>
        <w:spacing w:before="200" w:after="40"/>
        <w:jc w:val="left"/>
      </w:pPr>
      <w:r>
        <w:rPr>
          <w:b/>
          <w:sz w:val="21"/>
        </w:rPr>
        <w:t>Table 8. Comprehensive submission guide for manuscript supplementary information, checklists, tables, and code archives.</w:t>
      </w:r>
    </w:p>
    <w:tbl>
      <w:tblPr>
        <w:tblW w:w="0" w:type="auto"/>
        <w:jc w:val="center"/>
        <w:tblLook w:val="04A0" w:firstRow="1" w:lastRow="0" w:firstColumn="1" w:lastColumn="0" w:noHBand="0" w:noVBand="1"/>
      </w:tblPr>
      <w:tblGrid>
        <w:gridCol w:w="1313"/>
        <w:gridCol w:w="3924"/>
        <w:gridCol w:w="1529"/>
        <w:gridCol w:w="2594"/>
      </w:tblGrid>
      <w:tr w:rsidR="000E6725">
        <w:trPr>
          <w:jc w:val="center"/>
        </w:trPr>
        <w:tc>
          <w:tcPr>
            <w:tcW w:w="1728"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Item / Type</w:t>
            </w:r>
          </w:p>
        </w:tc>
        <w:tc>
          <w:tcPr>
            <w:tcW w:w="2016"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File Name</w:t>
            </w:r>
          </w:p>
        </w:tc>
        <w:tc>
          <w:tcPr>
            <w:tcW w:w="3312"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Detailed Content &amp; Scientific Purpose</w:t>
            </w:r>
          </w:p>
        </w:tc>
        <w:tc>
          <w:tcPr>
            <w:tcW w:w="2304"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Mandatory Submission Destination</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1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Supplementary_Information.docx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Supplementary Notes 1–5 (Theoretical Causal DAG </w:t>
            </w:r>
            <w:proofErr w:type="spellStart"/>
            <w:r>
              <w:rPr>
                <w:sz w:val="18"/>
              </w:rPr>
              <w:t>Identifiability</w:t>
            </w:r>
            <w:proofErr w:type="spellEnd"/>
            <w:r>
              <w:rPr>
                <w:sz w:val="18"/>
              </w:rPr>
              <w:t xml:space="preserve">, Welch Vectorization Proofs, PageRank Derivations, </w:t>
            </w:r>
            <w:proofErr w:type="gramStart"/>
            <w:r>
              <w:rPr>
                <w:sz w:val="18"/>
              </w:rPr>
              <w:t>SHAP</w:t>
            </w:r>
            <w:proofErr w:type="gramEnd"/>
            <w:r>
              <w:rPr>
                <w:sz w:val="18"/>
              </w:rPr>
              <w:t xml:space="preserve"> Formulations), Supplementary Methods, Supplementary Figures S1–S4, and Supplementary Discussion.</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'Supplementary Material / Additional File 1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2 (</w:t>
            </w:r>
            <w:proofErr w:type="spellStart"/>
            <w:r>
              <w:rPr>
                <w:b/>
                <w:sz w:val="18"/>
              </w:rPr>
              <w:t>docx</w:t>
            </w:r>
            <w:proofErr w:type="spellEnd"/>
            <w:r>
              <w:rPr>
                <w:b/>
                <w:sz w:val="18"/>
              </w:rPr>
              <w:t>/</w:t>
            </w:r>
            <w:proofErr w:type="spellStart"/>
            <w:r>
              <w:rPr>
                <w:b/>
                <w:sz w:val="18"/>
              </w:rPr>
              <w:t>xlsx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Manuscript_Tables.docx</w:t>
            </w:r>
            <w:r>
              <w:rPr>
                <w:sz w:val="18"/>
              </w:rPr>
              <w:br/>
              <w:t>(and Table_1.xlsx to Table_8.xlsx)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Comprehensive publication tables: Table 1 (Full Dataset Parameters), Table 2 (Complete 20-TF Prior Matrix), Table 3 (Complete 20-TF Causal Regulators), Table 4 (Full 25-Driver Master Scores), Table 5 (SHAP </w:t>
            </w:r>
            <w:r>
              <w:rPr>
                <w:sz w:val="18"/>
              </w:rPr>
              <w:lastRenderedPageBreak/>
              <w:t>Attributions), Table 6 (Benchmarking Metrics), Table 7 (Actionable Targets), and Table 8 (Causal Motifs).</w:t>
            </w:r>
          </w:p>
        </w:tc>
        <w:tc>
          <w:tcPr>
            <w:tcW w:w="2304" w:type="dxa"/>
            <w:tcBorders>
              <w:bottom w:val="none" w:sz="0" w:space="0" w:color="000000"/>
            </w:tcBorders>
            <w:vAlign w:val="center"/>
          </w:tcPr>
          <w:p w:rsidR="000E6725" w:rsidRDefault="004B7759">
            <w:pPr>
              <w:spacing w:before="40" w:after="40" w:line="252" w:lineRule="auto"/>
              <w:jc w:val="center"/>
            </w:pPr>
            <w:r>
              <w:rPr>
                <w:sz w:val="18"/>
              </w:rPr>
              <w:lastRenderedPageBreak/>
              <w:t>Journal Online Submission Portal -&gt; 'Supplementary Tables / Additional File 2 (</w:t>
            </w:r>
            <w:proofErr w:type="spellStart"/>
            <w:r>
              <w:rPr>
                <w:sz w:val="18"/>
              </w:rPr>
              <w:t>docx</w:t>
            </w:r>
            <w:proofErr w:type="spellEnd"/>
            <w:r>
              <w:rPr>
                <w:sz w:val="18"/>
              </w:rPr>
              <w:t>/</w:t>
            </w:r>
            <w:proofErr w:type="spellStart"/>
            <w:r>
              <w:rPr>
                <w:sz w:val="18"/>
              </w:rPr>
              <w:t>xlsx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3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STROBE_Statement_Checklist.docx</w:t>
            </w:r>
          </w:p>
        </w:tc>
        <w:tc>
          <w:tcPr>
            <w:tcW w:w="3312" w:type="dxa"/>
            <w:tcBorders>
              <w:bottom w:val="none" w:sz="0" w:space="0" w:color="000000"/>
            </w:tcBorders>
            <w:vAlign w:val="center"/>
          </w:tcPr>
          <w:p w:rsidR="000E6725" w:rsidRDefault="004B7759">
            <w:pPr>
              <w:spacing w:before="40" w:after="40" w:line="252" w:lineRule="auto"/>
              <w:jc w:val="left"/>
            </w:pPr>
            <w:r>
              <w:rPr>
                <w:sz w:val="18"/>
              </w:rPr>
              <w:t>Completed STROBE (Strengthening the Reporting of Observational Studies in Epidemiology) checklist adapted for high-throughput functional genomics and observational-to-causal single-cell studies.</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'Reporting Checklist / STROBE Statement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4 (html)</w:t>
            </w:r>
          </w:p>
        </w:tc>
        <w:tc>
          <w:tcPr>
            <w:tcW w:w="2016" w:type="dxa"/>
            <w:tcBorders>
              <w:bottom w:val="none" w:sz="0" w:space="0" w:color="000000"/>
            </w:tcBorders>
            <w:vAlign w:val="center"/>
          </w:tcPr>
          <w:p w:rsidR="000E6725" w:rsidRDefault="004B7759">
            <w:pPr>
              <w:spacing w:before="40" w:after="40" w:line="252" w:lineRule="auto"/>
              <w:jc w:val="left"/>
            </w:pPr>
            <w:r>
              <w:rPr>
                <w:sz w:val="18"/>
              </w:rPr>
              <w:t>TNBC_Causal_Network_Interactive.html</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Interactive, standalone 3D force-directed physics graph of the reconstructed tripartite causal regulatory network (TF -&gt; Enhancer -&gt; Target Gene), featuring </w:t>
            </w:r>
            <w:proofErr w:type="spellStart"/>
            <w:r>
              <w:rPr>
                <w:sz w:val="18"/>
              </w:rPr>
              <w:t>draggable</w:t>
            </w:r>
            <w:proofErr w:type="spellEnd"/>
            <w:r>
              <w:rPr>
                <w:sz w:val="18"/>
              </w:rPr>
              <w:t xml:space="preserve"> nodes, dynamic zooming, and regulon filtering.</w:t>
            </w:r>
          </w:p>
        </w:tc>
        <w:tc>
          <w:tcPr>
            <w:tcW w:w="2304" w:type="dxa"/>
            <w:tcBorders>
              <w:bottom w:val="none" w:sz="0" w:space="0" w:color="000000"/>
            </w:tcBorders>
            <w:vAlign w:val="center"/>
          </w:tcPr>
          <w:p w:rsidR="000E6725" w:rsidRDefault="004B7759">
            <w:pPr>
              <w:spacing w:before="40" w:after="40" w:line="252" w:lineRule="auto"/>
              <w:jc w:val="center"/>
            </w:pPr>
            <w:r>
              <w:rPr>
                <w:sz w:val="18"/>
              </w:rPr>
              <w:t xml:space="preserve">Journal Online Submission Portal -&gt; 'Interactive Data / Additional File 4 (html)' and </w:t>
            </w:r>
            <w:proofErr w:type="spellStart"/>
            <w:r>
              <w:rPr>
                <w:sz w:val="18"/>
              </w:rPr>
              <w:t>Zenodo</w:t>
            </w:r>
            <w:proofErr w:type="spellEnd"/>
            <w:r>
              <w:rPr>
                <w:sz w:val="18"/>
              </w:rPr>
              <w:t xml:space="preserve"> Archive</w:t>
            </w:r>
          </w:p>
        </w:tc>
      </w:tr>
      <w:tr w:rsidR="000E6725">
        <w:trPr>
          <w:jc w:val="center"/>
        </w:trPr>
        <w:tc>
          <w:tcPr>
            <w:tcW w:w="1728" w:type="dxa"/>
            <w:tcBorders>
              <w:bottom w:val="single" w:sz="12" w:space="0" w:color="000000"/>
            </w:tcBorders>
            <w:vAlign w:val="center"/>
          </w:tcPr>
          <w:p w:rsidR="000E6725" w:rsidRDefault="004B7759">
            <w:pPr>
              <w:spacing w:before="40" w:after="40" w:line="252" w:lineRule="auto"/>
              <w:jc w:val="left"/>
            </w:pPr>
            <w:r>
              <w:rPr>
                <w:b/>
                <w:sz w:val="18"/>
              </w:rPr>
              <w:t>Supplementary File 5 (Repository)</w:t>
            </w:r>
          </w:p>
        </w:tc>
        <w:tc>
          <w:tcPr>
            <w:tcW w:w="2016" w:type="dxa"/>
            <w:tcBorders>
              <w:bottom w:val="single" w:sz="12" w:space="0" w:color="000000"/>
            </w:tcBorders>
            <w:vAlign w:val="center"/>
          </w:tcPr>
          <w:p w:rsidR="00C5588B" w:rsidRDefault="004C0054">
            <w:r>
              <w:t xml:space="preserve">Sequential </w:t>
            </w:r>
            <w:proofErr w:type="spellStart"/>
            <w:r>
              <w:t>Jupyter</w:t>
            </w:r>
            <w:proofErr w:type="spellEnd"/>
            <w:r>
              <w:t xml:space="preserve"> Notebooks (1_Dataset_Preparation_and_QC.ipynb to 8_Graphical_Abstract_Generation.ipynb)</w:t>
            </w:r>
          </w:p>
        </w:tc>
        <w:tc>
          <w:tcPr>
            <w:tcW w:w="3312" w:type="dxa"/>
            <w:tcBorders>
              <w:bottom w:val="single" w:sz="12" w:space="0" w:color="000000"/>
            </w:tcBorders>
            <w:vAlign w:val="center"/>
          </w:tcPr>
          <w:p w:rsidR="00C5588B" w:rsidRDefault="004C0054">
            <w:r>
              <w:t xml:space="preserve">Complete, end-to-end reproducible Python code pipeline across 8 modular notebooks (QC, </w:t>
            </w:r>
            <w:proofErr w:type="spellStart"/>
            <w:r>
              <w:t>ChIP</w:t>
            </w:r>
            <w:proofErr w:type="spellEnd"/>
            <w:r>
              <w:t xml:space="preserve"> Prior Mapping, Single-Cell Landscape, </w:t>
            </w:r>
            <w:proofErr w:type="spellStart"/>
            <w:r>
              <w:t>Vectorized</w:t>
            </w:r>
            <w:proofErr w:type="spellEnd"/>
            <w:r>
              <w:t xml:space="preserve"> </w:t>
            </w:r>
            <w:r>
              <w:lastRenderedPageBreak/>
              <w:t>Welch Testing, Causal Network Triangulation, SHAP Attribution, Benchmarking &amp; Validation, and Graphical Abstract Generation).</w:t>
            </w:r>
          </w:p>
        </w:tc>
        <w:tc>
          <w:tcPr>
            <w:tcW w:w="2304" w:type="dxa"/>
            <w:tcBorders>
              <w:bottom w:val="single" w:sz="12" w:space="0" w:color="000000"/>
            </w:tcBorders>
            <w:vAlign w:val="center"/>
          </w:tcPr>
          <w:p w:rsidR="00C5588B" w:rsidRDefault="004C0054">
            <w:r>
              <w:lastRenderedPageBreak/>
              <w:t xml:space="preserve">Public Open-Science Repository (GitHub / </w:t>
            </w:r>
            <w:proofErr w:type="spellStart"/>
            <w:r>
              <w:t>Zenodo</w:t>
            </w:r>
            <w:proofErr w:type="spellEnd"/>
            <w:r>
              <w:t xml:space="preserve"> DOI: 10.5281/zenodo.10892345 linked in Data &amp; Code Availability)</w:t>
            </w:r>
          </w:p>
        </w:tc>
      </w:tr>
    </w:tbl>
    <w:p w:rsidR="000E6725" w:rsidRDefault="004B7759">
      <w:pPr>
        <w:spacing w:before="60" w:after="200" w:line="252" w:lineRule="auto"/>
      </w:pPr>
      <w:r>
        <w:rPr>
          <w:rFonts w:ascii="Times New Roman" w:hAnsi="Times New Roman"/>
          <w:b w:val="0"/>
          <w:i/>
          <w:color w:val="333333"/>
          <w:sz w:val="19"/>
        </w:rPr>
        <w:t>Note: All supplementary documents have been generated in the active workspace and are fully aligned with Nature Portfolio Life Sciences Reporting Summary and MINSEQE guidelines.</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