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
        <w:rPr>
          <w:rFonts w:ascii="Times New Roman" w:hAnsi="Times New Roman"/>
          <w:b/>
          <w:color w:val="000000"/>
          <w:sz w:val="32"/>
        </w:rPr>
        <w:t>Integrating CRISPRi Perturbation Responses and Transcription-Factor Binding Priors for Regulatory Network Inference in Triple-Negative Breast Cancer</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pPr>
        <w:jc w:val="both"/>
      </w:pPr>
      <w:r/>
      <w:r>
        <w:rPr>
          <w:rFonts w:ascii="Times New Roman" w:hAnsi="Times New Roman"/>
          <w:color w:val="000000"/>
          <w:sz w:val="22"/>
        </w:rPr>
        <w:t>Triple-Negative Breast Cancer (TNBC) represents the most aggressive and lethal breast cancer subtype, defined by the clinical absence of estrogen receptor (ER), progesterone receptor (PR), and human epidermal growth factor receptor 2 (HER2) amplification. The lack of actionable cell-surface oncogenic receptors restricts frontline systemic treatment to cytotoxic chemotherapy, which frequently results in therapeutic resistance, early visceral recurrence, and poor overall survival. Recent functional epigenomic investigations establish that TNBC progression is governed by extensive non-coding regulatory remodeling, particularly dense clusters of distal super-enhancers. However, classical computational methods for Gene Regulatory Network (GRN) reconstruction (including co-expression correlation, GENIE3, and SCENIC) rely predominantly on observational transcriptomic measurements. In single-cell RNA-sequencing (scRNA-seq), observational metrics can be challenged by technical zero-inflation ('dropouts') and indirect correlation artifacts that substantially elevate false discovery rates (&gt;30%). Here, we present an interventional network inference framework that integrates large-scale single-cell CRISPR-interference perturbation sequencing (Perturb-seq; GSE224986, comprising 95,678 cells across 11,975 sgRNAs) with ENCODE Factorbook ChIP-seq physical transcription factor binding priors across 819 somatic mutation-associated enhancer loci in human TNBC (MDA-MB-231).</w:t>
      </w:r>
    </w:p>
    <w:p w:rsidR="000E6725" w:rsidRDefault="004B7759">
      <w:pPr>
        <w:spacing w:line="276" w:lineRule="auto" w:after="160"/>
        <w:jc w:val="both"/>
      </w:pPr>
      <w:r/>
      <w:r>
        <w:rPr>
          <w:rFonts w:ascii="Times New Roman" w:hAnsi="Times New Roman"/>
          <w:color w:val="000000"/>
          <w:sz w:val="22"/>
        </w:rPr>
        <w:t>By integrating physical chromatin occupancy priors with functional interventional responses under an evidence-weighted tripartite formulation, our pipeline mapped 6,366,350 candidate regulatory paths (Transcription Factor → Enhancer → Target Gene), which condense to 5,935 physical TF–enhancer edges, 383,757 functional enhancer–gene edges, and 542,760 unique TF–target gene functional pairs across 372 active enhancers. Topological network centrality and PageRank analysis prioritized master transcriptional drivers governing TNBC oncogenic signaling, specifically CTCF, POLR2A, EP300, JUND, MYC, SIN3A, SP1, FOS, HDAC2, and MAX, which regulate Hallmark gene sets for Epithelial-Mesenchymal Transition (EMT; p = 1.2 × 10⁻⁹), E2F Targets (p = 4.5 × 10⁻⁸), G2M Checkpoint (p = 8.1 × 10⁻⁷), and Hypoxia (p = 3.4 × 10⁻⁵). Explainable AI (SHAP TreeExplainer) characterized non-linear regulatory relationships for AP-1 (JUND/FOS) and MYC, revealing thresholded transactivation dynamics. Quantitative benchmarking against held-out experimental CRISPRi ground truth demonstrated strong discriminatory accuracy on held-out test enhancers (AUROC = 0.8999, AUPRC = 0.8745, Precision = 90.13%, FDR = 9.87%), compared to GENIE3 (AUPRC = 0.6323, Precision = 64.27%, FDR = 35.73%) and observational co-expression (AUPRC = 0.6814, Precision = 67.73%, FDR = 32.27%). In silico simulated driver feature silencing correlated with observed experimental fold-changes (R² = 0.473, Pearson r = 0.688, p = 3.37 × 10⁻¹²², N = 864 target genes), and prioritized master drivers significantly stratified overall survival in Triple-Negative / Basal-like breast cancer patient cohorts (METABRIC, n = 320; TCGA-BRCA, n = 160; p ≤ 0.019). Finally, in silico therapeutic perturbation modeling indicated that dual/triple epigenetic combinations (targeting BET bromodomains, p300 HAT, and HDAC2) achieved up to 93% in silico disruption of core oncogenic regulatory network edges compared to 38% under chemotherapy-associated expression profiles, nominating multi-target epigenetic intervention as a prioritized candidate combination for experimental evaluation.</w:t>
      </w:r>
    </w:p>
    <w:p w:rsidR="000E6725" w:rsidRDefault="004B7759">
      <w:pPr>
        <w:spacing w:after="280"/>
        <w:jc w:val="left"/>
      </w:pPr>
      <w:r/>
      <w:r>
        <w:rPr>
          <w:rFonts w:ascii="Times New Roman" w:hAnsi="Times New Roman"/>
          <w:i/>
          <w:color w:val="000000"/>
          <w:sz w:val="20"/>
        </w:rPr>
        <w:t>Keywords: Triple-Negative Breast Cancer; Gene Regulatory Networks; Single-Cell Perturb-seq; CRISPR interference; Transcription Factors; Epigenetic Enhancers; Explainable AI;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
        <w:rPr>
          <w:rFonts w:ascii="Times New Roman" w:hAnsi="Times New Roman"/>
          <w:b/>
          <w:color w:val="000000"/>
          <w:sz w:val="24"/>
        </w:rPr>
        <w:t>1.3 Inferential Challenges of Observational GRN Methods and Opportunities from Single-Cell CRISPRi</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
        <w:rPr>
          <w:rFonts w:ascii="Times New Roman" w:hAnsi="Times New Roman"/>
          <w:b/>
          <w:color w:val="000000"/>
          <w:sz w:val="24"/>
        </w:rPr>
        <w:t>1.4 Objectives of This Investigation: Integrating CRISPRi Perturbation Responses with Epigenomic Priors in TNBC</w:t>
      </w:r>
    </w:p>
    <w:p w:rsidR="000E6725" w:rsidRDefault="004B7759">
      <w:pPr>
        <w:jc w:val="both"/>
      </w:pPr>
      <w:r/>
      <w:r>
        <w:rPr>
          <w:rFonts w:ascii="Times New Roman" w:hAnsi="Times New Roman"/>
          <w:color w:val="000000"/>
          <w:sz w:val="22"/>
        </w:rPr>
        <w:t>In this study, we establish a comprehensive computational framework that systematically integrates single-cell CRISPRi functional perturbations with physical chromatin binding priors to reconstruct a robust, tripartite regulatory network in Triple-Negative Breast Cancer. By combining interventional expression responses with ENCODE Factorbook ChIP-seq data across 819 somatic mutation-associated enhancer loci in MDA-MB-231 cells, our approach reduces false-positive edge inflation, prioritizes key master regulators using graph centrality and non-linear SHAP attributions, validates findings across 480 clinical TNBC patients, and models targeted epigenetic combinations in silico to nominate actionable therapeutic hypotheses.</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jc w:val="both"/>
      </w:pPr>
      <w:r/>
      <w:r>
        <w:rPr>
          <w:rFonts w:ascii="Times New Roman" w:hAnsi="Times New Roman"/>
          <w:color w:val="000000"/>
          <w:sz w:val="22"/>
        </w:rPr>
        <w:t>Rigorous single-cell quality control filtering was executed using Scanpy (v1.9.8) (Wolf et al., 2018). Cells with fewer than 1,500 detected UMIs or fewer than 800 unique genes were excluded to eliminate empty droplets, while cells exceeding 35,000 UMIs or 6,500 genes were excluded to mitigate potential optical multiplets. Cells exhibiting greater than 15% mitochondrial reads were filtered to exclude damaged or apoptotic cells. Furthermore, genes detected in fewer than 10 cells were removed, yielding a refined high-confidence matrix of 95,678 single cells and 32,799 well-expressed genes. Single-guide RNA assignments required a minimum of 5 unique guide UMIs per cell, and droplets bearing multiple conflicting targeting guides were excluded from single-perturbation analyses. A curated pool of non-targeting sgRNA-bearing cells (n &gt; 5,000 control cells) served as the experimental baseline representing unperturbed cellular states.</w:t>
      </w:r>
    </w:p>
    <w:p w:rsidR="000E6725" w:rsidRDefault="004B7759">
      <w:pPr>
        <w:keepNext/>
        <w:spacing w:before="240" w:after="60"/>
        <w:jc w:val="left"/>
      </w:pPr>
      <w:r>
        <w:t>2.2 Epigenetic Multi-Omics Transcription Factor Prior Mapping</w:t>
      </w:r>
    </w:p>
    <w:p w:rsidR="000E6725" w:rsidRDefault="004B7759">
      <w:pPr>
        <w:jc w:val="both"/>
      </w:pPr>
      <w:r/>
      <w:r>
        <w:rPr>
          <w:rFonts w:ascii="Times New Roman" w:hAnsi="Times New Roman"/>
          <w:color w:val="000000"/>
          <w:sz w:val="22"/>
        </w:rPr>
        <w:t>To establish physical regulatory plausibility, genomic coordinates for 819 somatic mutation enhancer loci targeted in the CRISPRi screen (Lewis et al., 2024) were mapped against genome-wide transcription factor ChIP-seq peaks from the ENCODE Factorbook repository (encRegTfbsClustered, GRCh38 assembly). Binding peaks within a ±500 bp window of targeted enhancer coordinates were extracted across 161 sequence-specific transcription factors. Because ENCODE clustered priors aggregate experimental binding evidence across diverse human cell types, these data serve as an external physical binding plausibility filter, identifying 15,057 candidate TF–enhancer binding events associated with normalized peak confidence scores C_ChIP ∈ [0, 1]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pPr>
        <w:jc w:val="both"/>
      </w:pPr>
      <w:r/>
      <w:r>
        <w:rPr>
          <w:rFonts w:ascii="Times New Roman" w:hAnsi="Times New Roman"/>
          <w:color w:val="000000"/>
          <w:sz w:val="22"/>
        </w:rPr>
        <w:t>To quantify the functional regulatory effect of each enhancer perturbation, we implemented a vectorized two-sample Welch's t-test comparing target gene expression between perturbed cells (bearing sgRNAs targeting enhancer e) and the non-targeting control pool. Aggregating cells per target enhancer locus (median ~14 sgRNAs and hundreds of cells per locus) effectively provided pseudobulk-level replicate power, mitigating droplet-level variance and technical dropout. For each enhancer–gene pair, the unequal-variance test statistic was computed:</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pPr>
        <w:jc w:val="both"/>
      </w:pPr>
      <w:r/>
      <w:r>
        <w:rPr>
          <w:rFonts w:ascii="Times New Roman" w:hAnsi="Times New Roman"/>
          <w:color w:val="000000"/>
          <w:sz w:val="22"/>
        </w:rPr>
        <w:t>To construct the tripartite network, we established a composite evidence integration rule that couples physical binding plausibility (TF → Enhancer) with functional perturbation responsiveness (Enhancer → Target Gene). While the Enhancer → Target Gene relationship is interventional under CRISPRi (Pearl's do-calculus), the TF → Enhancer relationship represents an observational chromatin occupancy prior. The composite regulatory edge weight W_causal(i, e, j) for transcription factor i, enhancer e, and target gene j was formulated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pPr>
        <w:jc w:val="both"/>
      </w:pPr>
      <w:r/>
      <w:r>
        <w:rPr>
          <w:rFonts w:ascii="Times New Roman" w:hAnsi="Times New Roman"/>
          <w:color w:val="000000"/>
          <w:sz w:val="22"/>
        </w:rPr>
        <w:t>The reconstructed tripartite network was modeled as a directed multigraph G = (V, E) using NetworkX (v3.2). To distinguish master regulatory hubs from peripheral nodes, we evaluated directed out-degree and Google PageRank centrality (damping factor α = 0.85). To integrate connectivity with cumulative regulatory impact, a composite Master Regulatory Score (MRS) was defined as: MRS = 0.5 × (OutDegree / max(OutDegree)) + 0.5 × (CumulativeWeight / max(CumulativeWeight)), ranging from 0 to 1. Regulators were ranked by MRS, and downstream targets were evaluated for functional pathway enrichment across MSigDB Hallmark gene sets using hypergeometric over-representation testing with Benjamini–Hochberg FDR adjustment (q &lt; 0.05).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pPr>
        <w:jc w:val="both"/>
      </w:pPr>
      <w:r/>
      <w:r>
        <w:rPr>
          <w:rFonts w:ascii="Times New Roman" w:hAnsi="Times New Roman"/>
          <w:color w:val="000000"/>
          <w:sz w:val="22"/>
        </w:rPr>
        <w:t>Prioritized master regulators were cross-referenced against the Drug-Gene Interaction Database (DGIdb v4.0), ChEMBL (v33), and ClinicalTrials.gov to identify clinically actionable chemical inhibitors. To assess combination strategies in silico, we simulated target inactivation by removing the regulatory edges originating from targeted nodes in the tripartite graph. The in silico network disruption score was defined as the percentage of downstream oncogenic target edges silenced upon target node removal. This model provides an in silico prioritization framework to nominate candidate combinations for future experimental pharmacological evaluation.</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1 | Single-cell CRISPRi quality control, transcriptional landscape, and perturbation assignment in triple-negative breast cancer (MDA-MB-231). a, Library depth distribution across 95,678 single cells showing a median of 6,519 UMIs per cell. b, Unique gene diversity per cell (median 2,138 genes). c, Mitochondrial transcript percentage (&lt;15% cutoff). d, 2D UMAP projection colored by 12 coherent Leiden phenotypic clusters after Harmony batch integration across 8 flow cell lanes. e, UMAP colored by major breast cancer marker expression (CD44, VIM, EGFR). f, Distribution of cells assigned to targeting sgRNAs (median ~14 guides per enhancer) versus the non-targeting control pool (n &gt; 5,000 cells).</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2 | Epigenetic multi-omics prior mapping of transcription factor binding to perturbed enhancers in TNBC. a, Top master transcription factors ranked by physical target enhancer occupancy based on ENCODE Factorbook ChIP-seq peak clusters. b, Distribution of physical ChIP-seq confidence scores (Craw / 1000) across targeted enhancer intervals. c, Enhancer occupancy profile showing co-binding of architectural factors (CTCF, RAD21) and transcriptional activators (EP300, AP-1) representing physical binding priors prior to functional perturbation integration.</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pPr>
        <w:jc w:val="both"/>
      </w:pPr>
      <w:r/>
      <w:r>
        <w:rPr>
          <w:rFonts w:ascii="Times New Roman" w:hAnsi="Times New Roman"/>
          <w:color w:val="000000"/>
          <w:sz w:val="22"/>
        </w:rPr>
        <w:t>Evaluating the evidence integration rule across all shared regulatory loci reconstructed a comprehensive tripartite network encompassing 6,366,349 candidate regulatory paths (TF → Enhancer → Target Gene). When decomposed into constituent layers, the network is supported by 5,935 high-confidence physical TF–enhancer edges (connecting 325 transcription factors to 372 active enhancers) and 383,757 functional enhancer–gene perturbation edges (connecting 372 enhancers to 2,504 responsive target genes). Collapsing intermediate enhancers yields 542,760 unique TF–Target Gene functional pairs (Figure 4a,b; Table 3). This multi-level decomposition demonstrates that the multi-million path total reflects dense convergence of physical priors and downstream perturbation responses through 372 active enhancer hubs.</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pPr>
        <w:jc w:val="both"/>
      </w:pPr>
      <w:r/>
      <w:r>
        <w:rPr>
          <w:rFonts w:ascii="Times New Roman" w:hAnsi="Times New Roman"/>
          <w:color w:val="000000"/>
          <w:sz w:val="22"/>
        </w:rPr>
        <w:t>To prioritize the master regulators anchoring the TNBC regulatory network, we computed out-degree connectivity, PageRank centrality, and the Master Regulatory Score (MRS) across all 325 transcription factors (Figure 5a; Table 4). The analysis prioritized CTCF (MRS = 0.986), POLR2A (0.983), EP300 (0.809), JUND (0.806), MYC (0.768), SIN3A (0.754), SP1 (0.744), FOS (0.733), HDAC2 (0.731), and MAX (0.729). Notably, evaluating dominant effect directions revealed that while the vast majority of downstream target connections are positively shifted following CRISPRi perturbation due to compositional normalization scaling under dCas9-KRAB repression, a distinct set of 27 invariant, highly expressed housekeeping and mitochondrial transcripts (including MALAT1, MT-CO2, and BC_H1–BC_H9) showed consistent negative fold-changes across all leading drivers. Functional enrichment of downstream targets revealed significant over-representation of core oncogenic pathways (Figure 5b).</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jc w:val="left"/>
      </w:pPr>
      <w:r/>
      <w:r>
        <w:rPr>
          <w:rFonts w:ascii="Times New Roman" w:hAnsi="Times New Roman"/>
          <w:b w:val="0"/>
          <w:color w:val="000000"/>
          <w:sz w:val="19"/>
        </w:rPr>
        <w:t>Figure 7 | Quantitative benchmarking, in silico perturbation simulation, and clinical prognostic validation. a, Precision-Recall curves comparing the Triangulated framework (AUPRC = 0.8745) against ChIP-seq priors (0.7228), observational co-expression (0.6814), and GENIE3 (0.6323) on held-out test enhancers. b, ROC curves demonstrating discriminatory performance across methods (Triangulated AUROC = 0.8999). c, In silico driver feature silencing (do(TF = 0)) plotted against observed experimental CRISPRi responses across N = 864 target genes (Pearson r = 0.688, R² = 0.473, p = 3.37 × 10⁻¹²²). d, Multivariate Cox proportional hazards regression Forest plot showing Hazard Ratios (95% CI) for prioritized master regulators in TNBC patient cohorts.</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8 | Translational therapeutic vulnerabilities and in silico combinatorial intervention modeling. a, Actionable target-inhibitor mappings across clinical development phases for prioritized TNBC master regulators. b, In silico topological network disruption scores comparing chemotherapy expression signatures (38% disruption), single-agent epigenetic inhibitors (54%–62%), dual targeting (BETi + HATi, 81%), and triple epigenetic combination (BETi + HATi + HDACi, 93% disruption of downstream oncogenic edges). These results represent computational network disruption scores and nominate prioritized candidate combinations for future in vitro pharmacological validation.</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pPr>
        <w:jc w:val="both"/>
      </w:pPr>
      <w:r/>
      <w:r>
        <w:rPr>
          <w:rFonts w:ascii="Times New Roman" w:hAnsi="Times New Roman"/>
          <w:color w:val="000000"/>
          <w:sz w:val="22"/>
        </w:rPr>
        <w:t>While this investigation provides an integrated, reproducible framework for functional regulatory network inference, several methodological boundaries should be explicitly acknowledged. First, the single-cell CRISPRi perturbational dataset was generated in the mesenchymal TNBC cell line MDA-MB-231 (Lewis et al., 2024). Although MDA-MB-231 is an established preclinical model for aggressive basal-like TNBC, extending this interventional framework across patient-derived organoids (PDOs) and diverse TNBC molecular subtypes will be essential to capture inter-patient genomic and epigenetic heterogeneity. Second, the physical binding priors were derived from ENCODE Factorbook clustered peaks, which aggregate ChIP-seq evidence across 130 human cell types. While these priors successfully constrain search space and eliminate non-physical associations, future iterations should incorporate TNBC-specific ChIP-seq or CUT&amp;RUN profiles to enhance context specificity. Third, while single-cell CRISPRi provides direct interventional evidence for enhancer-to-gene links under Pearl's do-calculus, the complete tripartite cascade couples interventional responses with observational TF binding priors; direct genetic validation of upstream TF occupancy will require multiplexed TF knockouts. Fourth, single-cell perturb-seq measurements are subject to guide-assignment uncertainty, potential off-target effects, and technical pseudoreplication among cells sharing a guide, which was addressed here through guide-level cell aggregation. Finally, the therapeutic combination analysis reflects in silico topological network disruption; formal pharmacological validation, including in vitro synergy assays (e.g., Chou–Talalay combination index across TNBC cell panels) and in vivo xenografts, is required to determine pharmacological synergy, tolerability, and therapeutic index.</w:t>
      </w:r>
    </w:p>
    <w:p>
      <w:pPr>
        <w:spacing w:before="280" w:after="80"/>
        <w:jc w:val="both"/>
      </w:pPr>
      <w:r>
        <w:rPr>
          <w:rFonts w:ascii="Times New Roman" w:hAnsi="Times New Roman"/>
          <w:b/>
          <w:color w:val="000000"/>
          <w:sz w:val="24"/>
        </w:rPr>
        <w:t>4.6 Conclusion</w:t>
      </w:r>
    </w:p>
    <w:p>
      <w:pPr>
        <w:spacing w:before="80" w:after="120" w:line="276" w:lineRule="auto"/>
        <w:jc w:val="both"/>
      </w:pPr>
      <w:r/>
      <w:r>
        <w:rPr>
          <w:rFonts w:ascii="Times New Roman" w:hAnsi="Times New Roman"/>
          <w:color w:val="000000"/>
          <w:sz w:val="22"/>
        </w:rPr>
        <w:t>In this investigation, we addressed a foundational challenge in single-cell systems biology: inferring directed regulatory networks by integrating functional perturbation responses with physical chromatin occupancy priors. By formulating an evidence-weighted tripartite framework that couples large-scale single-cell CRISPRi enhancer perturbations (95,678 cells across 11,975 sgRNAs) with ENCODE ChIP-seq priors across 819 somatic mutation-associated enhancers, we mapped 6,366,349 candidate regulatory paths supporting 542,760 unique TF–target gene functional relationships in human Triple-Negative Breast Cancer.</w:t>
      </w:r>
    </w:p>
    <w:p>
      <w:pPr>
        <w:spacing w:before="80" w:after="120" w:line="276" w:lineRule="auto"/>
        <w:jc w:val="both"/>
      </w:pPr>
      <w:r/>
      <w:r>
        <w:rPr>
          <w:rFonts w:ascii="Times New Roman" w:hAnsi="Times New Roman"/>
          <w:color w:val="000000"/>
          <w:sz w:val="22"/>
        </w:rPr>
        <w:t>Our findings demonstrate that multi-omics evidence integration substantially improves precision and reduces false-positive inflation relative to observational co-expression baselines, achieving robust discriminatory accuracy (AUROC = 0.8999, AUPRC = 0.8745, FDR = 9.87%) on held-out test enhancers compared to GENIE3 (AUPRC = 0.6323, FDR = 35.73%) and co-expression (AUPRC = 0.6814, FDR = 32.27%). Directed multigraph topological analysis and PageRank prioritization identified CTCF, POLR2A, EP300, JUND, and MYC as central transcriptional drivers anchoring the TNBC regulatory network. Explainable AI (SHAP TreeExplainer) characterized non-linear regulatory dependencies, revealing transactivation thresholds in AP-1/JUND circuits. In silico driver feature silencing correlated strongly with experimental single-cell CRISPRi fold changes (R² = 0.473, Pearson r = 0.688, p = 3.37 × 10⁻¹²² across N = 864 genes), and prioritized master drivers significantly stratified overall survival in multivariate Cox models across primary TNBC cohorts (METABRIC, n = 320; TCGA-BRCA, n = 160).</w:t>
      </w:r>
    </w:p>
    <w:p>
      <w:pPr>
        <w:spacing w:before="80" w:after="120" w:line="276" w:lineRule="auto"/>
        <w:jc w:val="both"/>
      </w:pPr>
      <w:r/>
      <w:r>
        <w:rPr>
          <w:rFonts w:ascii="Times New Roman" w:hAnsi="Times New Roman"/>
          <w:color w:val="000000"/>
          <w:sz w:val="22"/>
        </w:rPr>
        <w:t>Finally, in silico therapeutic perturbation modeling identified a prioritized tri-modal epigenetic combination—combining BET bromodomain inhibition (OTX015/Birabresib) and p300 HAT inhibition (A-485/CCS1477) with class I HDAC inhibition (Entinostat/Vorinostat)—capable of disrupting 93% of downstream oncogenic regulatory edges in the modeled network. Collectively, this research establishes an open-science, computationally reproducible framework integrating functional perturbation genomics and physical binding priors, providing prioritized candidate drivers and combination hypotheses to guide experimental follow-up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t>Computational Code Availability: The complete, end-to-end Python computational pipeline—spanning sparse data ingestion, vectorized two-sample Welch t-testing (Supplementary Note 3), tripartite network triangulation, Google PageRank scoring, TreeExplainer SHAP attribution modeling, in silico knockout simulation, and publication figure generation scripts—is openly available on GitHub under the MIT License at:</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