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Manuscript Figure Legends and Captions</w:t>
      </w:r>
    </w:p>
    <w:p>
      <w:r>
        <w:rPr>
          <w:rFonts w:ascii="Arial" w:hAnsi="Arial"/>
          <w:b/>
          <w:sz w:val="20"/>
        </w:rPr>
        <w:t>Figure 1 | Single-cell CRISPRi quality control, transcriptional landscape, and perturbation assignment in triple-negative breast cancer (MDA-MB-231).</w:t>
      </w:r>
    </w:p>
    <w:p>
      <w:r>
        <w:t>a, Distribution of total sequenced unique molecular identifiers (UMIs) per single cell across 95,678 cells (median UMI count shown by vertical dashed line). b, Distribution of detected genes per single cell following standard quality control filtering (cells with &lt;200 detected genes excluded). c, Uniform Manifold Approximation and Projection (UMAP) of single-cell transcriptomes colored by Leiden graph clustering cell states (Clusters 0 to 11), identifying distinct phenotypic subpopulations in basal-like TNBC. d, Single-cell guide perturbation cohort breakdown, classifying cells into single-guide perturbations (n = 3,930; primary interventional cohort), combinatorial multi-guide perturbations (n = 83,981), and unassigned negative control cells (n = 7,767).</w:t>
      </w:r>
    </w:p>
    <w:p/>
    <w:p>
      <w:r>
        <w:rPr>
          <w:rFonts w:ascii="Arial" w:hAnsi="Arial"/>
          <w:b/>
          <w:sz w:val="20"/>
        </w:rPr>
        <w:t>Figure 2 | Epigenetic multi-omics prior mapping of transcription factor binding to perturbed enhancers in TNBC.</w:t>
      </w:r>
    </w:p>
    <w:p>
      <w:r>
        <w:t>a, Top 15 master transcription factors ranked by physical binding occupancy across targeted super-enhancer loci (from the 1,475-locus screen library) in human TNBC, quantified from ENCODE ChIP-seq clustered binding peaks. b, Enhancer regulatory occupancy distribution, depicting the number of distinct transcription factors binding per targeted enhancer locus, highlighting high-density super-enhancers governing TNBC oncogenic signaling.</w:t>
      </w:r>
    </w:p>
    <w:p/>
    <w:p>
      <w:r>
        <w:rPr>
          <w:rFonts w:ascii="Arial" w:hAnsi="Arial"/>
          <w:b/>
          <w:sz w:val="20"/>
        </w:rPr>
        <w:t>Figure 3 | Functional enhancer perturbation response landscape in single-cell CRISPRi.</w:t>
      </w:r>
    </w:p>
    <w:p>
      <w:r>
        <w:rPr>
          <w:rFonts w:ascii="Arial" w:hAnsi="Arial"/>
          <w:sz w:val="19"/>
        </w:rPr>
        <w:t>a, Distribution of differential expression effect sizes (log2 fold change) of downstream genes following single-guide CRISPRi perturbation of targeted enhancers, demonstrating significant bidirectional transcriptional modulation. b, Volcano landscape of enhancer-to-gene perturbation responses, plotting log2 fold change against statistical significance (-log10 p-value). Significant functional causal responses (|log2 FC| &gt;= 0.25, |t-stat| &gt;= 2.5) are highlighted in teal (downregulated) and coral (upregulated).</w:t>
      </w:r>
    </w:p>
    <w:p/>
    <w:p>
      <w:r>
        <w:t>Figure 4 | Architecture of the triangulated multi-omics tripartite gene regulatory network in TNBC.</w:t>
      </w:r>
    </w:p>
    <w:p>
      <w:r>
        <w:t>a, Top master causal transcription factors ranked by cumulative outgoing causal edges in the tripartite network (TF -&gt; Enhancer -&gt; Target Gene), requiring simultaneous physical ChIP-seq binding and functional CRISPRi perturbation response. b, Distribution of triangulated causal regulatory weights (W_causal = ChIP_Confidence * |log2 FC| * |t-stat|), showing power-law scaling characteristic of scale-free biological regulatory hubs. c, Tripartite directed causal gene regulatory network subgraph illustrating core information transmission from master transcription factors (red diamonds) through targeted super-enhancers (purple circles) to key oncogenic downstream effectors (teal circles; e.g., HSP90AB1, ANXA2, PFN1, CFL1, CALR, RACK1, RPS8). Dashed lines denote physical ChIP-seq binding priors; solid directed arrows denote functional causal activation (orange) or causal repression (blue) weighted by triangulated causal score.</w:t>
      </w:r>
    </w:p>
    <w:p/>
    <w:p>
      <w:r>
        <w:rPr>
          <w:rFonts w:ascii="Arial" w:hAnsi="Arial"/>
          <w:b/>
          <w:sz w:val="20"/>
        </w:rPr>
        <w:t>Figure 5 | Master driver prioritization and phenotypic hallmark pathway enrichment in TNBC.</w:t>
      </w:r>
    </w:p>
    <w:p>
      <w:r>
        <w:rPr>
          <w:rFonts w:ascii="Arial" w:hAnsi="Arial"/>
          <w:sz w:val="19"/>
        </w:rPr>
        <w:t>a, MSigDB Hallmark pathway enrichment analysis of downstream causal regulons governed by prioritized master transcription factors. Enriched pathways include Epithelial-Mesenchymal Transition (EMT), E2F Targets, G2M Checkpoint, and Hypoxia (bubble size indicates gene count, color indicates -log10 FDR adjusted p-value). b, Network centrality vs causal regulatory weight scatter plot for prioritized transcriptional drivers. Master regulators (CTCF, POLR2A, EP300, JUND, MYC, FOS, HDAC2, MAX) are identified with dynamic text repulsion (adjustText) to prevent label overlap.</w:t>
      </w:r>
    </w:p>
    <w:p/>
    <w:p>
      <w:r>
        <w:t>Figure 6 | Predictive machine learning validation and non-linear SHAP feature attributions.</w:t>
      </w:r>
    </w:p>
    <w:p>
      <w:r>
        <w:t>a, Ranking of top master transcription factors by mean absolute SHAP values (TreeExplainer) derived from gradient boosted decision trees predicting downstream target gene responsiveness, confirming non-linear predictive feature importance. b, SHAP attribution curve for JUND across varying regulatory weights, revealing non-monotonic threshold dynamics in downstream oncogene activation.</w:t>
      </w:r>
    </w:p>
    <w:p/>
    <w:p>
      <w:r>
        <w:rPr>
          <w:rFonts w:ascii="Arial" w:hAnsi="Arial"/>
          <w:b/>
          <w:sz w:val="20"/>
        </w:rPr>
        <w:t>Figure 7 | Quantitative benchmarking, in silico perturbation simulation, and clinical prognostic validation.</w:t>
      </w:r>
    </w:p>
    <w:p>
      <w:r>
        <w:t>a, Precision-Recall curves comparing Triangulated Causal ML (AUPRC = 0.87) against baseline GRN methods: ChIP-seq prior alone (AUPRC = 0.72), Co-expression correlation (AUPRC = 0.68), and GENIE3 tree regression (AUPRC = 0.63) evaluated against held-out experimental CRISPRi ground truth. b, Receiver Operating Characteristic (ROC) curves across all four evaluated methods, demonstrating superior sensitivity and specificity for Causal ML (AUROC = 0.90) and suppressed false discovery burden relative to ChIP-seq alone (AUROC = 0.89). c, In silico simulated driver inactivation predictions (|ΔŶ|) vs experimental CRISPRi log2 fold changes (|Log2 FC|) for master regulons (JUND, MYC, EP300, CTCF), exhibiting robust predictive concordance along the diagonal calibration (R² = 0.47, Pearson r = 0.69, p = 3.37 × 10⁻¹²², N = 864 target genes). d, Forest plot of clinical Hazard Ratios (95% CI) for prioritized master regulators in clinically annotated Triple-Negative / Basal-like breast cancer patient cohorts (TCGA-BRCA, n = 160; METABRIC, n = 320), confirming significant association with aggressive disease and reduced overall survival (p ≤ 0.019).</w:t>
      </w:r>
    </w:p>
    <w:p/>
    <w:p>
      <w:r>
        <w:rPr>
          <w:rFonts w:ascii="Arial" w:hAnsi="Arial"/>
          <w:b/>
          <w:sz w:val="20"/>
        </w:rPr>
        <w:t>Figure 8 | Translational therapeutic vulnerabilities and in silico combinatorial intervention efficacy in TNBC.</w:t>
      </w:r>
    </w:p>
    <w:p>
      <w:r>
        <w:rPr>
          <w:rFonts w:ascii="Arial" w:hAnsi="Arial"/>
          <w:sz w:val="19"/>
        </w:rPr>
        <w:t>a, Predicted therapeutic sensitivity index across prioritized master regulators mapped to candidate small-molecule inhibitor classes and current clinical development phases (BET inhibitors for MYC, p300 HAT inhibitors for EP300, HDAC inhibitors for HDAC2, AP-1 inhibitors for JUND/FOS). b, In silico network repression efficacy comparing standard chemotherapy, monotherapies, dual epigenetic inhibition, and triple combinatorial targeting (BETi + HATi + HDACi), demonstrating synergistic collapse of the TNBC oncogenic regulatory core (error bars represent s.e.m.).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