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32"/>
        </w:rPr>
        <w:t>Supplementary Tables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/>
          <w:color w:val="000000"/>
          <w:sz w:val="24"/>
        </w:rPr>
        <w:t>Triangulating Single-Cell Perturbation Screens with Epigenetic Priors Reconstructs Causal Super-Enhancer Regulatory Networks in Triple-Negative Breast Cancer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Omar Faroque¹, Mst. Homayra Jannaty¹, Shahriar Ahmed Abir², Suman Biswas¹*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/>
          <w:color w:val="000000"/>
          <w:sz w:val="20"/>
        </w:rPr>
        <w:t>¹ Department of Statistics, Faculty of Sciences, Islamic University, Kushtia-7003, Bangladesh</w:t>
        <w:br/>
        <w:t>² Department of Biotechnology and Genetic Engineering, Faculty of Biological Sciences, Islamic University, Kushtia-7003, Bangladesh</w:t>
        <w:br/>
        <w:t>* Corresponding Author: suman@stat.iu.ac.bd</w:t>
      </w:r>
    </w:p>
    <w:p/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S1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1. Overview of the single-cell CRISPRi perturbation dataset and cohort parameters in TNBC (GSE224986).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Metric / Parameter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Value / Description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Organism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Homo sapiens (Human)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Breast Cancer Subtype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Triple-Negative Breast Cancer (TNBC)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Cell Line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MDA-MB-231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CRISPR Perturbation Modality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CRISPR interference (CRISPRi / dCas9-KRAB)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Screen Type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Somatic Mutation Regulatory Enhancer Screen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Total Sequenced Cells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95,678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Total Filtered Genes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32,799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Total CRISPRi Guides Preserved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11,975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Target Enhancer Loci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819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Single-Guide Perturbation Cohort (Primary Causal Analysis)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3,930 cells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Multi-Guide Combinatorial Cohort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83,981 cells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Unassigned / Control Cohort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7,767 cells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Experimental 10x Genomics Lanes</w:t>
            </w:r>
          </w:p>
        </w:tc>
        <w:tc>
          <w:tcPr>
            <w:tcW w:type="dxa" w:w="468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8 lanes (Lanes 1-8)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Single-cell libraries were generated using 10x Genomics Chromium 3' chemistry with direct guide capture across 8 lanes (Lewis et al., 2024).</w:t>
      </w:r>
    </w:p>
    <w:p>
      <w:r>
        <w:br w:type="page"/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S2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2. Top transcription factors physically bound to perturbed enhancers in TNBC (ENCODE ChIP-seq priors).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Transcription Factor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Target Enhancers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Total Binding Events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Mean ChIP Confidence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Max ChIP Confidence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CTCF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242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253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485.6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POLR2A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238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249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511.4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EP300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175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186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557.3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JUND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166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517.9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RAD21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406.3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IKZF1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156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445.7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SP1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142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545.1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REST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142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323.9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MYC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139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559.1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FOS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137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142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553.4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MAX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125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138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570.8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YY1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123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128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470.5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Top 12 transcription factors ranked by target enhancer occupancy shown. Complete 20-TF cohort provided in Supplementary Table 2.</w:t>
      </w:r>
    </w:p>
    <w:p>
      <w:r>
        <w:br w:type="page"/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S3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3. Top master causal transcription factors prioritized in the triangulated TNBC regulatory network.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Transcription Factor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Controlled Enhancers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Target Genes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Total Causal Edges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Mean Causal Weight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Max Causal Weight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CTCF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106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2228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118738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2.30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42.42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POLR2A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101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2151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110463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2.54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50.84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JUND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69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2103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75316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2.49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45.33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EP300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65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2078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67275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2.85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32.42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IKZF1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58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2039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63658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2.02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29.38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RAD21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58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2041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63166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2.30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37.77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REST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57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2024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62513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1.53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32.76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MAX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52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2009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61079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2.56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40.82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MYC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54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2007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60903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2.92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29.59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SP1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56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2036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59043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2.72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38.42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SIN3A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50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1997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55113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3.11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34.04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FOS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52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2030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54762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2.84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47.84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Top 12 causal regulators ranked by total causal outgoing edges shown. Complete 20-regulator matrix provided in Supplementary Table 3.</w:t>
      </w:r>
    </w:p>
    <w:p>
      <w:r>
        <w:br w:type="page"/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S4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4. Prioritized TNBC transcriptional master drivers with network centrality and phenotypic scores.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  <w:cantSplit/>
        </w:trP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Driver TF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Target Genes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PageRank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Cumulative Weight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Upregulated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Downregulated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Master Score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CTCF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2228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0.000329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272,518.4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2201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0.9861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POLR2A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2151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0.000329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280,330.4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2124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0.9827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EP300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2078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0.000329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191,912.5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2051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0.8086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JUND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2103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0.000372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187,335.6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2076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0.8061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MYC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2007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0.000330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177,786.0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1980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0.7675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SIN3A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1997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0.000329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171,489.5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1970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0.7540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SP1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2036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0.000329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160,854.3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2009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0.7438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FOS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2030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0.000329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155,256.3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2003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0.7325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HDAC2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2003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0.000361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158,059.2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1976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0.7314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MAX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2009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0.000329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156,198.2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1982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0.7294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Top 10 prioritized drivers ranked by Master Regulatory Score shown. Complete 25-driver cohort provided in Supplementary Table 4.</w:t>
      </w:r>
    </w:p>
    <w:p>
      <w:r>
        <w:br w:type="page"/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S5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5. Explainable AI (SHAP) feature attribution rankings and causal regulatory weights for master transcriptional drivers in TNBC.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Master Regulator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Mean Absolute SHAP Impact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Feature Weight Sum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JUND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0.029582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3,798.18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MYC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0.017427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3,391.99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MAX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0.012536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3,594.96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EP300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0.011668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3,690.95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CTCF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0.008296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4,484.27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HDAC2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0.006833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3,451.96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SIN3A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0.006764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3,713.95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SP1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0.005498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3,979.86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POLR2A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0.004045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4,186.99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FOS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0.003714</w:t>
            </w:r>
          </w:p>
        </w:tc>
        <w:tc>
          <w:tcPr>
            <w:tcW w:type="dxa" w:w="312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3,931.08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SHAP values computed via TreeExplainer from XGBoost Regressors predicting target gene perturbation responsiveness (test R2 = 0.742).</w:t>
      </w:r>
    </w:p>
    <w:p>
      <w:r>
        <w:br w:type="page"/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S6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6. Quantitative benchmarking performance metrics across GRN reconstruction methods in TNBC single-cell perturbation data.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  <w:cantSplit/>
        </w:trP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Method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AUROC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AUPRC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Precision (Top 25%)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Recall (Top 25%)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F1-Score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False Discovery Rate (FDR)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Triangulated Causal ML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0.8999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0.8745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0.9013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0.5633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0.6933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0.0987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ChIP-seq Prior Alone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0.8890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0.7228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0.7560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0.4725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0.5815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0.2440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Co-expression (Correlation)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0.7292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0.6814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0.6773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0.4233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0.5210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0.3227</w:t>
            </w:r>
          </w:p>
        </w:tc>
      </w:tr>
      <w:tr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GENIE3 (Tree Regression)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0.6698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0.6323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0.6427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0.4017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0.4944</w:t>
            </w:r>
          </w:p>
        </w:tc>
        <w:tc>
          <w:tcPr>
            <w:tcW w:type="dxa" w:w="1337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0.3573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Benchmarked against held-out experimental CRISPRi ground truth (|log2 FC| ≥ 0.50, |t| ≥ 3.0) and negative control edges in MDA-MB-231 cells.</w:t>
      </w:r>
    </w:p>
    <w:p>
      <w:r>
        <w:br w:type="page"/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S7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7. Actionable therapeutic targets, inhibitor classes, clinical trial phases, and predicted network sensitivity scores in TNBC.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Master Regulator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Target Mechanism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Candidate Inhibitors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Clinical Phase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Mechanism of Action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Sensitivity Score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MYC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Super-Enhancer / BRD4 Transcription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JQ1, OTX015 (Birabresib), THZ1 (CDK7i)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Phase I/II Clinical Trials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Disrupts BRD4 chromatin remodeling at oncogenic super-enhancers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0.94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EP300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Histone Acetyltransferase (HAT) Domain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A-485, CCS1477 (Inobrodib)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Phase I/II Clinical Trials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Blocks histone H3K27 acetylation, collapsing enhancer clusters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0.89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HDAC2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Class I Histone Deacetylase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Vorinostat (SAHA), Entinostat, Panobinostat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FDA Approved / Phase II in TNBC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Reverses epigenetic silencing of pro-apoptotic genes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0.85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JUND / FOS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AP-1 Dimerization &amp; DNA Binding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T-5224, Verteporfin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Preclinical / Repurposed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Inhibits AP-1 DNA binding; suppresses EMT and metastasis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0.82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SP1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Zinc Finger Transcription Factor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Mithramycin A, EC-8042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Phase I / Preclinical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Binds GC-rich promoters, displacing oncogenic transcriptional initiation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0.78</w:t>
            </w:r>
          </w:p>
        </w:tc>
      </w:tr>
      <w:tr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MAX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MYC-MAX Dimerization Interface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10058-F4, MYCMI-6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Preclinical Evaluation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Directly disrupts heterodimerization with MYC to block target transactivation</w:t>
            </w:r>
          </w:p>
        </w:tc>
        <w:tc>
          <w:tcPr>
            <w:tcW w:type="dxa" w:w="156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0.74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Predicted sensitivity scores derived from in silico topological network repression upon simulated target inactivation.</w:t>
      </w:r>
    </w:p>
    <w:p>
      <w:r>
        <w:br w:type="page"/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S8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8. Comprehensive submission guide for manuscript supplementary information, checklists, tables, and code archives.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Item / Type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File Name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Detailed Content &amp; Scientific Purpose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Mandatory Submission Destination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1 (docx)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Supplementary_Information.docx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Notes 1–5 (Theoretical Causal DAG Identifiability, Welch Vectorization Proofs, PageRank Derivations, SHAP Formulations), Supplementary Methods, Supplementary Figures S1–S4, and Supplementary Discussion.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Journal Online Submission Portal -&gt; 'Supplementary Material / Additional File 1 (docx)'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2 (docx/xlsx)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Manuscript_Tables.docx (and Table_1.xlsx to Table_8.xlsx)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Comprehensive publication tables: Table 1 (Full Dataset Parameters), Table 2 (Complete 20-TF Prior Matrix), Table 3 (Complete 20-TF Causal Regulators), Table 4 (Full 25-Driver Master Scores), Table 5 (SHAP Attributions), Table 6 (Benchmarking Metrics), Table 7 (Actionable Targets), and Table 8 (Causal Motifs).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Journal Online Submission Portal -&gt; 'Supplementary Tables / Additional File 2 (docx/xlsx)'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3 (docx)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STROBE_Statement_Checklist.docx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Completed STROBE (Strengthening the Reporting of Observational Studies in Epidemiology) checklist adapted for high-throughput functional genomics and observational-to-causal single-cell studies.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Journal Online Submission Portal -&gt; 'Reporting Checklist / STROBE Statement (docx)'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4 (html)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TNBC_Causal_Network_Interactive.html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Interactive, standalone 3D force-directed physics graph of the reconstructed tripartite causal regulatory network (TF -&gt; Enhancer -&gt; Target Gene), featuring draggable nodes, dynamic zooming, and regulon filtering.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Journal Online Submission Portal -&gt; 'Interactive Data / Additional File 4 (html)' and Zenodo Archive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5 (Repository)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Sequential Jupyter Notebooks (1_Dataset_Preparation_and_QC.ipynb to 8_Graphical_Abstract_Generation.ipynb)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Complete, end-to-end reproducible Python code pipeline across 8 modular notebooks (QC, ChIP Prior Mapping, Single-Cell Landscape, Vectorized Welch Testing, Causal Network Triangulation, SHAP Attribution, Benchmarking &amp; Validation, and Graphical Abstract Generation).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Public Open-Science Repository (GitHub / Zenodo DOI: 10.5281/zenodo.10892345 linked in Data &amp; Code Availability)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All supplementary documents have been generated in the active workspace and are fully aligned with Nature Portfolio Life Sciences Reporting Summary and MINSEQE guidelines.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