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/>
          <w:b/>
          <w:sz w:val="30"/>
        </w:rPr>
        <w:t>STROBE Statement—Checklist of Items for Observational &amp; Molecular Studies</w:t>
      </w:r>
    </w:p>
    <w:p>
      <w:pPr>
        <w:spacing w:after="280"/>
        <w:jc w:val="center"/>
      </w:pPr>
      <w:r>
        <w:rPr>
          <w:rFonts w:ascii="Arial" w:hAnsi="Arial"/>
          <w:i/>
          <w:sz w:val="20"/>
        </w:rPr>
        <w:t>Adapted for: Applying Causal Machine Learning and Multi-Omics Integration to Unravel Gene Regulatory Networks in Triple-Negative Breast Cancer (TNBC)</w:t>
        <w:br/>
        <w:t>Authors: Omar Faroque &amp; Suman Biswas, Department of Statistics, Islamic University, Kushtia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12" w:space="0" w:color="000000"/>
              <w:bottom w:val="single" w:sz="8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b/>
                <w:sz w:val="19"/>
              </w:rPr>
              <w:t>Section / Topic</w:t>
            </w:r>
          </w:p>
        </w:tc>
        <w:tc>
          <w:tcPr>
            <w:tcW w:type="dxa" w:w="1872"/>
            <w:tcBorders>
              <w:top w:val="single" w:sz="12" w:space="0" w:color="000000"/>
              <w:bottom w:val="single" w:sz="8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b/>
                <w:sz w:val="19"/>
              </w:rPr>
              <w:t>Item #</w:t>
            </w:r>
          </w:p>
        </w:tc>
        <w:tc>
          <w:tcPr>
            <w:tcW w:type="dxa" w:w="1872"/>
            <w:tcBorders>
              <w:top w:val="single" w:sz="12" w:space="0" w:color="000000"/>
              <w:bottom w:val="single" w:sz="8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b/>
                <w:sz w:val="19"/>
              </w:rPr>
              <w:t>STROBE Checklist Recommendation</w:t>
            </w:r>
          </w:p>
        </w:tc>
        <w:tc>
          <w:tcPr>
            <w:tcW w:type="dxa" w:w="1872"/>
            <w:tcBorders>
              <w:top w:val="single" w:sz="12" w:space="0" w:color="000000"/>
              <w:bottom w:val="single" w:sz="8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b/>
                <w:sz w:val="19"/>
              </w:rPr>
              <w:t>Addressed in TNBC Causal ML Manuscript</w:t>
            </w:r>
          </w:p>
        </w:tc>
        <w:tc>
          <w:tcPr>
            <w:tcW w:type="dxa" w:w="1872"/>
            <w:tcBorders>
              <w:top w:val="single" w:sz="12" w:space="0" w:color="000000"/>
              <w:bottom w:val="single" w:sz="8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b/>
                <w:sz w:val="19"/>
              </w:rPr>
              <w:t>Location</w:t>
            </w:r>
          </w:p>
        </w:tc>
      </w:tr>
      <w:tr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Title and Abstract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1a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Indicate study's design with a commonly used term in title/abstract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Title and Abstract: Interventional causal machine learning, single-cell CRISPR-perturb-seq, and multi-omics observational cohort study (TCGA/METABRIC).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Page 1</w:t>
            </w:r>
          </w:p>
        </w:tc>
      </w:tr>
      <w:tr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Title and Abstract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1b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Provide an informative and balanced summary of what was done and found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Abstract: Detailed structured summary describing objective, data (GSE224986, 95k cells), causal triangulation, key driver prioritization (MYC, EP300, JUND), benchmarking, and clinical relevance.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Page 1</w:t>
            </w:r>
          </w:p>
        </w:tc>
      </w:tr>
      <w:tr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Introduction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2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Explain scientific background and rationale for investigation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Section 1: Clinical aggressiveness of TNBC, lack of targeted receptors, reliance on super-enhancers, and failure of observational GRN inference due to single-cell dropouts and confounding.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Pages 1-2</w:t>
            </w:r>
          </w:p>
        </w:tc>
      </w:tr>
      <w:tr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Introduction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3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State specific objectives, including any prespecified hypotheses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Section 1: Construct a tripartite causal GRN (TF -&gt; Enhancer -&gt; Gene), prioritize master drivers, apply Explainable AI (SHAP), benchmark against GENIE3/co-expression, and map drug targets.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Page 2</w:t>
            </w:r>
          </w:p>
        </w:tc>
      </w:tr>
      <w:tr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Methods - Design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4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Present key elements of study design early in the paper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Section 2.1-2.4: Six-phase interventional causal inference framework integrating single-cell CRISPRi screen with ENCODE ChIP-seq physical binding priors.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Pages 2-3</w:t>
            </w:r>
          </w:p>
        </w:tc>
      </w:tr>
      <w:tr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Methods - Setting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5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Describe setting, locations, relevant dates, exposure periods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Section 2.1: In vitro MDA-MB-231 human triple-negative breast cancer cells subjected to genome-scale dCas9-KRAB single-cell perturbation (GSE224986).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Page 2</w:t>
            </w:r>
          </w:p>
        </w:tc>
      </w:tr>
      <w:tr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Methods - Participants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6a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Give eligibility criteria, sources, and selection methods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Section 2.1: Single-cell selection based on standard QC (detected genes &gt;= 200, genes in &gt;= 3 cells, non-zero UMI counts; 95,678 high-quality single cells analyzed).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Page 2</w:t>
            </w:r>
          </w:p>
        </w:tc>
      </w:tr>
      <w:tr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Methods - Variables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7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Clearly define all outcomes, exposures, predictors, confounders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Section 2.3-2.4: Exposure = single-guide enhancer CRISPRi perturbation; Outcome = target gene log2 FC; Predictors = ChIP confidence, causal weights; Confounders = 10x lane batches.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Pages 2-3</w:t>
            </w:r>
          </w:p>
        </w:tc>
      </w:tr>
      <w:tr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Methods - Data Sources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8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Give sources of data and details of measurement methods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Section 2.1-2.2: GEO GSE224986 (Perturb-seq), GSE223812 (enhancer BED), ENCODE UCSC encRegTfbsClustered (ChIP-seq), TCGA-BRCA / METABRIC (clinical survival).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Pages 2-4</w:t>
            </w:r>
          </w:p>
        </w:tc>
      </w:tr>
      <w:tr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Methods - Bias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9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Describe any efforts to address potential sources of bias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Section 2.1, 2.7: Handled dropout bias and transitive correlation artifacts via Pearlian causal intervention modeling (do-calculus); controlled lane batch effects (lanes 1-8).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Pages 2-4</w:t>
            </w:r>
          </w:p>
        </w:tc>
      </w:tr>
      <w:tr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Methods - Study Size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10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Explain how study size was arrived at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Section 2.1: Comprehensive cohort of 95,678 single cells (3,930 single-guide, 83,981 multi-guide, 7,767 unassigned controls) and 11,975 sgRNAs.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Page 2</w:t>
            </w:r>
          </w:p>
        </w:tc>
      </w:tr>
      <w:tr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Methods - Quantitative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11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Explain how quantitative variables were handled in analyses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Section 2.3-2.4: Total UMI normalization (10,000 per cell), log1p transformation, Welch t-statistic calculation, and continuous causal weight scaling.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Pages 2-3</w:t>
            </w:r>
          </w:p>
        </w:tc>
      </w:tr>
      <w:tr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Methods - Statistical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12a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Describe all statistical methods, including confounder control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Section 2.3-2.7: Vectorized Welch two-sample t-testing, PageRank network centrality, XGBoost GBDT regression, exact TreeExplainer SHAP attribution, Cox proportional hazards.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Pages 3-4</w:t>
            </w:r>
          </w:p>
        </w:tc>
      </w:tr>
      <w:tr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Methods - Statistical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12b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Describe methods examining subgroups and interactions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Section 2.3, 2.8: Unsupervised Leiden clustering into 8 sub-states; combinatorial multi-target in silico network repression modeling.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Pages 3-4</w:t>
            </w:r>
          </w:p>
        </w:tc>
      </w:tr>
      <w:tr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Methods - Statistical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12c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Explain how missing data were addressed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Section 2.1, 2.7: Zero-count dropout handling via interventional conditioning without artificial imputation artifacts; sparse CSR memory representation.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Pages 2-4</w:t>
            </w:r>
          </w:p>
        </w:tc>
      </w:tr>
      <w:tr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Results - Participants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13a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Report numbers of individuals/cells at each stage of study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Section 3.1: 95,678 single cells evaluated, 32,799 expressing genes retained, partitioned across 8 Leiden clusters and 8 experimental sequencing lanes.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Page 4</w:t>
            </w:r>
          </w:p>
        </w:tc>
      </w:tr>
      <w:tr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Results - Descriptive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14a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Give characteristics of study participants/cells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Section 3.1, Table 1, Figure 1: Median 3,842 UMIs/cell, average 1,845 detected genes/cell, 1,475 unique enhancers targeted.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Page 4</w:t>
            </w:r>
          </w:p>
        </w:tc>
      </w:tr>
      <w:tr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Results - Main Results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16a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Give unadjusted and adjusted effect estimates and precision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Section 3.4-3.5, Tables 3-4, Figure 4-5: Prioritized master regulators (CTCF, POLR2A, EP300, JUND, MYC) and enriched oncogenic Hallmark pathways (EMT p=1.2e-9, E2F p=4.5e-8).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Pages 4-5</w:t>
            </w:r>
          </w:p>
        </w:tc>
      </w:tr>
      <w:tr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Results - Benchmarking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17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Report other analyses done (sensitivity, benchmarking, validation)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Section 3.7-3.9, Tables 6-7, Figures 7-8: Causal ML AUPRC=0.999 vs GENIE3 0.787 vs Co-expression 0.491; In silico knockout R^2=0.91; Clinical HR JUND=1.88, MYC=1.74.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Pages 5-6</w:t>
            </w:r>
          </w:p>
        </w:tc>
      </w:tr>
      <w:tr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Discussion - Summary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18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Summarize key results with reference to study objectives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Section 4: Reconstructed tripartite causal GRN (6.36M edges), eliminated 50% spurious correlations of observational methods, resolved non-linear AP-1/MYC switches.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Pages 6-7</w:t>
            </w:r>
          </w:p>
        </w:tc>
      </w:tr>
      <w:tr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Discussion - Limitations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19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Discuss limitations of study (potential bias, imprecision)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Section 4: Cell-line context (MDA-MB-231), reliance on dCas9-KRAB enhancer repression rather than direct coding knockout of every TF; future in vivo patient validation.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Page 7</w:t>
            </w:r>
          </w:p>
        </w:tc>
      </w:tr>
      <w:tr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Discussion - Interpretation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20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Give a cautious overall interpretation of results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Section 4: Triangulation provides a defensible framework for discovering causal regulatory hubs and designing epigenetic combination therapies (BETi + HATi + HDACi).</w:t>
            </w:r>
          </w:p>
        </w:tc>
        <w:tc>
          <w:tcPr>
            <w:tcW w:type="dxa" w:w="1872"/>
            <w:tcBorders>
              <w:top w:val="none"/>
              <w:bottom w:val="none" w:sz="0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Page 7</w:t>
            </w:r>
          </w:p>
        </w:tc>
      </w:tr>
      <w:tr>
        <w:tc>
          <w:tcPr>
            <w:tcW w:type="dxa" w:w="1872"/>
            <w:tcBorders>
              <w:top w:val="none"/>
              <w:bottom w:val="single" w:sz="12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Other Information</w:t>
            </w:r>
          </w:p>
        </w:tc>
        <w:tc>
          <w:tcPr>
            <w:tcW w:type="dxa" w:w="1872"/>
            <w:tcBorders>
              <w:top w:val="none"/>
              <w:bottom w:val="single" w:sz="12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22</w:t>
            </w:r>
          </w:p>
        </w:tc>
        <w:tc>
          <w:tcPr>
            <w:tcW w:type="dxa" w:w="1872"/>
            <w:tcBorders>
              <w:top w:val="none"/>
              <w:bottom w:val="single" w:sz="12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Give source of funding and role of funders</w:t>
            </w:r>
          </w:p>
        </w:tc>
        <w:tc>
          <w:tcPr>
            <w:tcW w:type="dxa" w:w="1872"/>
            <w:tcBorders>
              <w:top w:val="none"/>
              <w:bottom w:val="single" w:sz="12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Section 5: Supported by National Science &amp; Technology (NST) Fellowship 2025-2026, Ministry of Science and Technology, Government of Bangladesh.</w:t>
            </w:r>
          </w:p>
        </w:tc>
        <w:tc>
          <w:tcPr>
            <w:tcW w:type="dxa" w:w="1872"/>
            <w:tcBorders>
              <w:top w:val="none"/>
              <w:bottom w:val="single" w:sz="12" w:space="0" w:color="000000"/>
              <w:left w:val="none"/>
              <w:right w:val="none"/>
            </w:tcBorders>
          </w:tcPr>
          <w:p>
            <w:r>
              <w:rPr>
                <w:rFonts w:ascii="Arial" w:hAnsi="Arial"/>
                <w:sz w:val="18"/>
              </w:rPr>
              <w:t>Page 7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