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4"/>
        </w:rPr>
        <w:t>Supplementary Table S2</w:t>
      </w:r>
    </w:p>
    <w:p>
      <w:pPr>
        <w:spacing w:before="80" w:after="80" w:line="276" w:lineRule="auto"/>
        <w:jc w:val="both"/>
      </w:pPr>
      <w:r>
        <w:rPr>
          <w:rFonts w:ascii="Times New Roman" w:hAnsi="Times New Roman"/>
          <w:b/>
          <w:i w:val="0"/>
          <w:color w:val="000000"/>
          <w:sz w:val="22"/>
        </w:rPr>
        <w:t>Table 2. Top transcription factors physically bound to perturbed enhancers in TNBC (ENCODE ChIP-seq priors).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Transcription Factor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Target Enhancers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Total Binding Events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Mean ChIP Confidence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/>
                <w:color w:val="000000"/>
                <w:sz w:val="19"/>
              </w:rPr>
              <w:t>Max ChIP Confidence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CTCF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253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485.6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POLR2A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238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249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511.4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EP300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175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186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557.3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JUND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166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517.9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RAD21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406.3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IKZF1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445.7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SP1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545.1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REST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323.9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MYC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139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151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559.1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FOS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137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142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553.4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MAX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125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138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570.8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  <w:tr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YY1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123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128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470.5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30" w:type="dxa"/>
              <w:right w:w="130" w:type="dxa"/>
            </w:tcMar>
          </w:tcPr>
          <w:p>
            <w:pPr>
              <w:spacing w:before="20" w:after="20" w:line="252" w:lineRule="auto"/>
              <w:jc w:val="right"/>
            </w:pPr>
            <w:r/>
            <w:r>
              <w:rPr>
                <w:rFonts w:ascii="Times New Roman" w:hAnsi="Times New Roman"/>
                <w:b w:val="0"/>
                <w:color w:val="000000"/>
                <w:sz w:val="19"/>
              </w:rPr>
              <w:t>1000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 w:val="0"/>
          <w:color w:val="000000"/>
          <w:sz w:val="19"/>
        </w:rPr>
        <w:t>Note: Top 12 transcription factors ranked by target enhancer occupancy shown. Complete 20-TF cohort provided in Supplementary Table 2.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