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Supplementary Table S3</w:t>
      </w:r>
    </w:p>
    <w:p>
      <w:pPr>
        <w:spacing w:before="80" w:after="8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Table 3. Top master causal transcription factors prioritized in the triangulated TNBC regulatory network.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000000"/>
          <w:bottom w:val="single" w:sz="10" w:space="0" w:color="000000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  <w:gridCol w:w="2160"/>
        <w:gridCol w:w="2160"/>
      </w:tblGrid>
      <w:tr>
        <w:trPr>
          <w:tblHeader/>
          <w:cantSplit/>
        </w:trP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Transcription Factor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Controlled Enhancers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Target Genes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Total Causal Edges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Mean Causal Weight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/>
                <w:color w:val="000000"/>
                <w:sz w:val="19"/>
              </w:rPr>
              <w:t>Max Causal Weight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CTCF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2228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118738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2.30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42.42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POLR2A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101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2151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110463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2.54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50.84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JUND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69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2103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75316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2.49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45.33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EP300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65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2078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67275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2.85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32.42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IKZF1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2039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63658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2.02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29.38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RAD21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58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2041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63166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2.30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37.77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REST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57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2024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62513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1.53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32.76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MAX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2009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61079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2.56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40.82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MYC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2007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60903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2.92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29.59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SP1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2036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59043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2.72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38.42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SIN3A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1997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55113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3.11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34.04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FOS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2030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54762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2.84</w:t>
            </w:r>
          </w:p>
        </w:tc>
        <w:tc>
          <w:tcPr>
            <w:tcW w:type="dxa" w:w="216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20" w:after="20" w:line="252" w:lineRule="auto"/>
              <w:jc w:val="right"/>
            </w:pPr>
            <w:r/>
            <w:r>
              <w:rPr>
                <w:rFonts w:ascii="Times New Roman" w:hAnsi="Times New Roman"/>
                <w:b w:val="0"/>
                <w:color w:val="000000"/>
                <w:sz w:val="19"/>
              </w:rPr>
              <w:t>47.84</w:t>
            </w:r>
          </w:p>
        </w:tc>
      </w:tr>
    </w:tbl>
    <w:p>
      <w:pPr>
        <w:spacing w:before="80" w:after="8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Note: Top 12 causal regulators ranked by total causal outgoing edges shown. Complete 20-regulator matrix provided in Supplementary Table 3.</w:t>
      </w:r>
    </w:p>
    <w:sectPr w:rsidR="00FC693F" w:rsidRPr="0006063C" w:rsidSect="0003461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