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0E6725" w:rsidRDefault="004B7759">
      <w:pPr>
        <w:spacing w:after="160"/>
        <w:jc w:val="center"/>
      </w:pPr>
      <w:r>
        <w:rPr>
          <w:b/>
          <w:sz w:val="32"/>
        </w:rPr>
        <w:t>Integrating CRISPRi Perturbation Responses and Transcription-Factor Binding Priors for Regulatory Network Inference in Triple-Negative Breast Cancer</w:t>
      </w:r>
    </w:p>
    <w:p w:rsidR="000E6725" w:rsidRDefault="00E25AC2">
      <w:pPr>
        <w:spacing w:before="80" w:after="40"/>
        <w:jc w:val="center"/>
      </w:pPr>
      <w:r>
        <w:rPr>
          <w:b/>
        </w:rPr>
        <w:t>Omar Faroque</w:t>
      </w:r>
      <w:r>
        <w:rPr>
          <w:b/>
          <w:vertAlign w:val="superscript"/>
        </w:rPr>
        <w:t>1</w:t>
      </w:r>
      <w:r w:rsidR="00A75222">
        <w:rPr>
          <w:b/>
        </w:rPr>
        <w:t>, Mst. Homayra Jannaty</w:t>
      </w:r>
      <w:r w:rsidR="00A75222">
        <w:rPr>
          <w:b/>
          <w:vertAlign w:val="superscript"/>
        </w:rPr>
        <w:t xml:space="preserve"> 1</w:t>
      </w:r>
      <w:r w:rsidR="00A75222">
        <w:rPr>
          <w:b/>
        </w:rPr>
        <w:t xml:space="preserve">, </w:t>
      </w:r>
      <w:proofErr w:type="spellStart"/>
      <w:r w:rsidR="00A75222">
        <w:rPr>
          <w:b/>
        </w:rPr>
        <w:t>Shahriar</w:t>
      </w:r>
      <w:proofErr w:type="spellEnd"/>
      <w:r w:rsidR="00A75222">
        <w:rPr>
          <w:b/>
        </w:rPr>
        <w:t xml:space="preserve"> Ahmed Abir</w:t>
      </w:r>
      <w:r w:rsidR="00A75222">
        <w:rPr>
          <w:b/>
          <w:vertAlign w:val="superscript"/>
        </w:rPr>
        <w:t>2</w:t>
      </w:r>
      <w:r w:rsidR="00A75222">
        <w:rPr>
          <w:b/>
        </w:rPr>
        <w:t xml:space="preserve">, </w:t>
      </w:r>
      <w:r>
        <w:rPr>
          <w:b/>
        </w:rPr>
        <w:t>Suman Biswas</w:t>
      </w:r>
      <w:r>
        <w:rPr>
          <w:b/>
          <w:vertAlign w:val="superscript"/>
        </w:rPr>
        <w:t>1</w:t>
      </w:r>
      <w:r w:rsidR="00352B2D">
        <w:rPr>
          <w:b/>
        </w:rPr>
        <w:t>*</w:t>
      </w:r>
    </w:p>
    <w:p w:rsidR="00A75222" w:rsidRDefault="00A75222" w:rsidP="00A75222">
      <w:pPr>
        <w:spacing w:before="40" w:after="0"/>
        <w:jc w:val="center"/>
        <w:rPr>
          <w:i/>
          <w:color w:val="333333"/>
          <w:sz w:val="20"/>
        </w:rPr>
      </w:pPr>
      <w:r>
        <w:rPr>
          <w:i/>
          <w:color w:val="333333"/>
          <w:sz w:val="20"/>
          <w:vertAlign w:val="superscript"/>
        </w:rPr>
        <w:t>1</w:t>
      </w:r>
      <w:r>
        <w:rPr>
          <w:i/>
          <w:color w:val="333333"/>
          <w:sz w:val="20"/>
        </w:rPr>
        <w:t>Department of Statistics</w:t>
      </w:r>
      <w:r w:rsidR="004B7759">
        <w:rPr>
          <w:i/>
          <w:color w:val="333333"/>
          <w:sz w:val="20"/>
        </w:rPr>
        <w:t>, Islamic University, Kushtia-7003, Bangladesh</w:t>
      </w:r>
    </w:p>
    <w:p w:rsidR="000E6725" w:rsidRDefault="00FA1697" w:rsidP="00A75222">
      <w:pPr>
        <w:spacing w:after="0"/>
        <w:jc w:val="center"/>
      </w:pPr>
      <w:r>
        <w:rPr>
          <w:sz w:val="22"/>
          <w:vertAlign w:val="superscript"/>
        </w:rPr>
        <w:t>2</w:t>
      </w:r>
      <w:r w:rsidR="00A75222">
        <w:rPr>
          <w:sz w:val="22"/>
        </w:rPr>
        <w:t>Department of Biotechnology and Genetic Engineering, Islamic University, Kushtia-7003, Bangladesh</w:t>
      </w:r>
      <w:r w:rsidR="00A75222">
        <w:rPr>
          <w:sz w:val="22"/>
        </w:rPr>
        <w:br/>
        <w:t>*Corresponding Author: suman@stat.iu.ac.bd</w:t>
      </w:r>
      <w:r w:rsidR="00A75222">
        <w:rPr>
          <w:sz w:val="22"/>
        </w:rPr>
        <w:br/>
      </w:r>
      <w:bookmarkStart w:id="0" w:name="_GoBack"/>
      <w:bookmarkEnd w:id="0"/>
      <w:r w:rsidR="00A75222">
        <w:rPr>
          <w:sz w:val="22"/>
        </w:rPr>
        <w:t>Short Title: CRISPRi and Epigenetic Priors in TNBC Regulatory Networks</w:t>
      </w:r>
    </w:p>
    <w:p w:rsidR="000E6725" w:rsidRDefault="004B7759">
      <w:pPr>
        <w:keepNext/>
        <w:spacing w:before="320" w:after="80"/>
        <w:jc w:val="left"/>
      </w:pPr>
      <w:r>
        <w:rPr>
          <w:b/>
          <w:sz w:val="28"/>
        </w:rPr>
        <w:t>Abstract</w:t>
      </w:r>
    </w:p>
    <w:p w:rsidR="000E6725" w:rsidRDefault="004B7759">
      <w:r>
        <w:t>Triple-Negative Breast Cancer (TNBC) represents an aggressive breast cancer subtype that lacks actionable cell-surface receptors, restricting frontline systemic management to cytotoxic chemotherapy. While recent functional epigenomics shows that TNBC progression is governed by non-coding regulatory remodeling at distal super-enhancers, conventional Gene Regulatory Network (GRN) inference methods rely on observational transcriptomic co-expression, which suffers from technical dropouts and confounding correlations that inflate false discoveries (&gt;30%). Here, we present an interventional network inference framework that integrates large-scale single-cell CRISPR-interference perturbation sequencing (Perturb-seq; GSE224986, 95,678 cells across 11,975 sgRNAs) with ENCODE Factorbook ChIP-seq physical transcription factor binding priors across 819 somatic mutation-associated enhancer loci in human TNBC (MDA-MB-231). Our pipeline reconstructed a tripartite network yielding 5,935 physical TF–enhancer edges, 383,757 functional enhancer–gene edges, and 542,760 unique TF–target gene functional pairs across 372 active enhancers. Topological centrality prioritized master transcriptional drivers governing TNBC oncogenic signaling, including CTCF, POLR2A, EP300, JUND, MYC, and FOS, which regulate Hallmark programs for Epithelial-Mesenchymal Transition (p = 1.2 × 10⁻⁹) and cell cycle progression. Explainable machine learning (SHAP TreeExplainer) revealed non-linear, thresholded transactivation dynamics for AP-1 and MYC. Quantitative benchmarking against held-out CRISPRi ground truth demonstrated strong discriminatory accuracy (AUROC = 0.8999, AUPRC = 0.8745, Precision = 90.13%, FDR = 9.87%), substantially outperforming GENIE3 (AUPRC = 0.6323, FDR = 35.73%) and co-expression correlation (AUPRC = 0.6814). In silico simulated driver feature silencing correlated with experimental responses (R² = 0.473, p &lt; 10⁻¹²²), and master driver signatures significantly stratified overall survival in METABRIC (n = 320) and TCGA-BRCA (n = 160; p ≤ 0.019) cohorts. Finally, in silico perturbation modeling indicated that multi-target epigenetic combinations achieved 93% topological disruption of oncogenic regulatory connectivity, nominating prioritized candidate circuits for experimental validation.</w:t>
      </w:r>
    </w:p>
    <w:p w:rsidR="000E6725" w:rsidRDefault="004B7759">
      <w:pPr>
        <w:spacing w:before="240"/>
        <w:jc w:val="left"/>
      </w:pPr>
      <w:r>
        <w:rPr>
          <w:b/>
        </w:rPr>
        <w:t>Author Summary</w:t>
      </w:r>
    </w:p>
    <w:p w:rsidR="00022F84" w:rsidRDefault="00FA1697">
      <w:r>
        <w:t xml:space="preserve">Triple-negative breast cancer (TNBC) is one of the most challenging malignancies to treat because cancer cells lack the hormonal and HER2 receptors targeted by standard precision drugs. While </w:t>
      </w:r>
      <w:r>
        <w:lastRenderedPageBreak/>
        <w:t>tumor cells maintain their aggressive be</w:t>
      </w:r>
      <w:r>
        <w:t>havior by rewiring genetic control switches through specialized regulatory DNA regions known as super-enhancers, traditional computer models struggle to map these networks accurately because they rely on simple correlation, which often mistakes coincidenta</w:t>
      </w:r>
      <w:r>
        <w:t>l patterns for genuine biological cause and effect.</w:t>
      </w:r>
    </w:p>
    <w:p w:rsidR="00022F84" w:rsidRDefault="00FA1697">
      <w:pPr>
        <w:spacing w:after="240"/>
      </w:pPr>
      <w:r>
        <w:t>In this study, we addressed this limitation by developing a computational framework that directly connects large-scale single-cell CRISPR genetic silencing experiments with physical protein-DNA binding ma</w:t>
      </w:r>
      <w:r>
        <w:t>ps. By analyzing how systematic genetic perturbations affect gene activity across nearly 100,000 individual cancer cells, our model identified master regulatory proteins, such as AP-1, MYC, and EP300, that drive tumor progression and correlate with poor pa</w:t>
      </w:r>
      <w:r>
        <w:t xml:space="preserve">tient survival in clinical cohorts. Furthermore, our computational simulations demonstrate that simultaneously targeting multiple epigenetic switches disrupts cancer networks far more effectively than standard chemotherapy, providing concrete, prioritized </w:t>
      </w:r>
      <w:r>
        <w:t>targets for future laboratory experiments and combination drug development.</w:t>
      </w:r>
    </w:p>
    <w:p w:rsidR="000E6725" w:rsidRDefault="004B7759">
      <w:pPr>
        <w:spacing w:after="280"/>
        <w:jc w:val="left"/>
      </w:pPr>
      <w:r>
        <w:rPr>
          <w:i/>
          <w:sz w:val="20"/>
        </w:rPr>
        <w:t>Keywords: Triple-Negative Breast Cancer; Gene Regulatory Networks; Single-Cell Perturb-seq; CRISPR interference; Transcription Factors; Epigenetic Enhancers; Explainable AI; Combination Therapy.</w:t>
      </w:r>
    </w:p>
    <w:p w:rsidR="000E6725" w:rsidRDefault="004B7759">
      <w:pPr>
        <w:keepNext/>
        <w:spacing w:before="320" w:after="80"/>
        <w:jc w:val="left"/>
      </w:pPr>
      <w:r>
        <w:rPr>
          <w:b/>
          <w:sz w:val="28"/>
        </w:rPr>
        <w:t>1. Introduction</w:t>
      </w:r>
    </w:p>
    <w:p w:rsidR="000E6725" w:rsidRDefault="004B7759">
      <w:pPr>
        <w:keepNext/>
        <w:spacing w:before="240" w:after="60"/>
        <w:jc w:val="left"/>
      </w:pPr>
      <w:r>
        <w:rPr>
          <w:b/>
          <w:sz w:val="25"/>
        </w:rPr>
        <w:t>1.1 Clinical Gravity, Heterogeneity, and Therapeutic Challenges of TNBC</w:t>
      </w:r>
    </w:p>
    <w:p w:rsidR="000E6725" w:rsidRDefault="004B7759">
      <w:r>
        <w:t xml:space="preserve">Triple-Negative Breast Cancer (TNBC) accounts for approximately 15% to 20% of all diagnosed breast carcinomas and remains disproportionately responsible for breast cancer mortality worldwide (Dent et al., 2007; Foulkes et al., 2010; </w:t>
      </w:r>
      <w:proofErr w:type="spellStart"/>
      <w:r>
        <w:t>Zagami</w:t>
      </w:r>
      <w:proofErr w:type="spellEnd"/>
      <w:r>
        <w:t xml:space="preserve"> &amp; Carey, 2022). Clinically defined by the </w:t>
      </w:r>
      <w:proofErr w:type="spellStart"/>
      <w:r>
        <w:t>immunohistochemical</w:t>
      </w:r>
      <w:proofErr w:type="spellEnd"/>
      <w:r>
        <w:t xml:space="preserve"> absence of estrogen receptor (ER) and progesterone receptor (PR) expression, together with the absence of human epidermal growth factor receptor 2 (HER2) overexpression or gene amplification (Irvin &amp; Carey, 2008; </w:t>
      </w:r>
      <w:proofErr w:type="spellStart"/>
      <w:r>
        <w:t>Rakha</w:t>
      </w:r>
      <w:proofErr w:type="spellEnd"/>
      <w:r>
        <w:t xml:space="preserve"> et al., 2007), TNBC represents a biological class that is fundamentally unresponsive to endocrine modulators (such as tamoxifen and aromatase inhibitors) or HER2-directed monoclonal antibodies (such as </w:t>
      </w:r>
      <w:proofErr w:type="spellStart"/>
      <w:r>
        <w:t>trastuzumab</w:t>
      </w:r>
      <w:proofErr w:type="spellEnd"/>
      <w:r>
        <w:t>) (</w:t>
      </w:r>
      <w:proofErr w:type="spellStart"/>
      <w:r>
        <w:t>Dass</w:t>
      </w:r>
      <w:proofErr w:type="spellEnd"/>
      <w:r>
        <w:t xml:space="preserve"> et al., 2021; </w:t>
      </w:r>
      <w:proofErr w:type="spellStart"/>
      <w:r>
        <w:t>Waks</w:t>
      </w:r>
      <w:proofErr w:type="spellEnd"/>
      <w:r>
        <w:t xml:space="preserve"> &amp; Winer, 2019). </w:t>
      </w:r>
      <w:r w:rsidR="004F7BCD">
        <w:t xml:space="preserve">Consequently, systemic cytotoxic chemotherapy, comprising </w:t>
      </w:r>
      <w:proofErr w:type="spellStart"/>
      <w:r w:rsidR="004F7BCD">
        <w:t>anthracyclines</w:t>
      </w:r>
      <w:proofErr w:type="spellEnd"/>
      <w:r w:rsidR="004F7BCD">
        <w:t xml:space="preserve">, </w:t>
      </w:r>
      <w:proofErr w:type="spellStart"/>
      <w:r w:rsidR="004F7BCD">
        <w:t>taxanes</w:t>
      </w:r>
      <w:proofErr w:type="spellEnd"/>
      <w:r w:rsidR="004F7BCD">
        <w:t>, and platinum-based DNA-crosslinking agents, remains the historical mainstay of systemic treatment (</w:t>
      </w:r>
      <w:proofErr w:type="spellStart"/>
      <w:r w:rsidR="004F7BCD">
        <w:t>Bianchini</w:t>
      </w:r>
      <w:proofErr w:type="spellEnd"/>
      <w:r w:rsidR="004F7BCD">
        <w:t xml:space="preserve"> et al., 2016; </w:t>
      </w:r>
      <w:proofErr w:type="spellStart"/>
      <w:r w:rsidR="004F7BCD">
        <w:t>Waks</w:t>
      </w:r>
      <w:proofErr w:type="spellEnd"/>
      <w:r w:rsidR="004F7BCD">
        <w:t xml:space="preserve"> &amp; Winer, 2019).</w:t>
      </w:r>
    </w:p>
    <w:p w:rsidR="000E6725" w:rsidRDefault="004B7759">
      <w:r>
        <w:t xml:space="preserve">Despite aggressive multi-agent chemotherapy regimens, patient clinical trajectories </w:t>
      </w:r>
      <w:proofErr w:type="gramStart"/>
      <w:r>
        <w:t>are characterized</w:t>
      </w:r>
      <w:proofErr w:type="gramEnd"/>
      <w:r>
        <w:t xml:space="preserve"> by high relapse rates. While initial </w:t>
      </w:r>
      <w:proofErr w:type="spellStart"/>
      <w:r>
        <w:t>chemosensitivity</w:t>
      </w:r>
      <w:proofErr w:type="spellEnd"/>
      <w:r>
        <w:t xml:space="preserve"> </w:t>
      </w:r>
      <w:proofErr w:type="gramStart"/>
      <w:r>
        <w:t>is observed</w:t>
      </w:r>
      <w:proofErr w:type="gramEnd"/>
      <w:r>
        <w:t xml:space="preserve"> in a subset of patients, over 30% to 40% experience rapid disease recurrence within three to five years following definitive surgery (Dent et al., 2007; Foulkes et al., 2010). Metastatic TNBC exhibits an aggressive natural history with a pronounced predilection for visceral organ dissemination, including the lungs, liver, and central nervous system, conferring a median overall survival of merely 12 to 18 months (</w:t>
      </w:r>
      <w:proofErr w:type="spellStart"/>
      <w:r>
        <w:t>Bianchini</w:t>
      </w:r>
      <w:proofErr w:type="spellEnd"/>
      <w:r>
        <w:t xml:space="preserve"> et al., 2016; </w:t>
      </w:r>
      <w:proofErr w:type="spellStart"/>
      <w:r>
        <w:t>Garrido</w:t>
      </w:r>
      <w:proofErr w:type="spellEnd"/>
      <w:r>
        <w:t xml:space="preserve">-Castro et al., 2019). Comprehensive transcriptomic profiling has established that TNBC is an intensely heterogeneous disease encompassing distinct molecular entities, predominantly the basal-like (BL1, BL2), mesenchymal (M), mesenchymal </w:t>
      </w:r>
      <w:r>
        <w:lastRenderedPageBreak/>
        <w:t xml:space="preserve">stem-like (MSL), immunomodulatory (IM), and luminal androgen receptor (LAR) subtypes (Burstein et al., 2015; Lehmann et al., 2011; </w:t>
      </w:r>
      <w:proofErr w:type="spellStart"/>
      <w:r>
        <w:t>Perou</w:t>
      </w:r>
      <w:proofErr w:type="spellEnd"/>
      <w:r>
        <w:t xml:space="preserve"> et al., 2000; </w:t>
      </w:r>
      <w:proofErr w:type="spellStart"/>
      <w:r>
        <w:t>Sørlie</w:t>
      </w:r>
      <w:proofErr w:type="spellEnd"/>
      <w:r>
        <w:t xml:space="preserve"> et al., 2001). Because standard targeted kinase or cell-surface receptor inhibitors consistently fail due to rapid bypass signaling and secondary resistance (</w:t>
      </w:r>
      <w:proofErr w:type="spellStart"/>
      <w:r>
        <w:t>Garrido</w:t>
      </w:r>
      <w:proofErr w:type="spellEnd"/>
      <w:r>
        <w:t>-Castro et al., 2019), there is an urgent requirement to unravel the core transcriptional and epigenetic regulatory circuits that sustain TNBC survival and metastatic fitness.</w:t>
      </w:r>
    </w:p>
    <w:p w:rsidR="000E6725" w:rsidRDefault="004B7759">
      <w:pPr>
        <w:keepNext/>
        <w:spacing w:before="240" w:after="60"/>
        <w:jc w:val="left"/>
      </w:pPr>
      <w:r>
        <w:rPr>
          <w:b/>
          <w:sz w:val="25"/>
        </w:rPr>
        <w:t>1.2 Epigenetic Architecture, Super-Enhancers, and Non-Coding Remodeling</w:t>
      </w:r>
    </w:p>
    <w:p w:rsidR="000E6725" w:rsidRDefault="004B7759">
      <w:r>
        <w:t xml:space="preserve">Recent advances in cancer functional genomics demonstrate that oncogenic states </w:t>
      </w:r>
      <w:proofErr w:type="gramStart"/>
      <w:r>
        <w:t>are not solely governed</w:t>
      </w:r>
      <w:proofErr w:type="gramEnd"/>
      <w:r>
        <w:t xml:space="preserve"> by focal protein-coding mutations, but are intensely dependent on non-coding regulatory elements, particularly enhancers and super-enhancers (</w:t>
      </w:r>
      <w:proofErr w:type="spellStart"/>
      <w:r>
        <w:t>Bradner</w:t>
      </w:r>
      <w:proofErr w:type="spellEnd"/>
      <w:r>
        <w:t xml:space="preserve"> et al., 2017; </w:t>
      </w:r>
      <w:proofErr w:type="spellStart"/>
      <w:r>
        <w:t>Hnisz</w:t>
      </w:r>
      <w:proofErr w:type="spellEnd"/>
      <w:r>
        <w:t xml:space="preserve"> et al., 2013; </w:t>
      </w:r>
      <w:proofErr w:type="spellStart"/>
      <w:r>
        <w:t>Lovén</w:t>
      </w:r>
      <w:proofErr w:type="spellEnd"/>
      <w:r>
        <w:t xml:space="preserve"> et al., 2013; Whyte et al., 2013). Super-enhancers are dense clusters of broad genomic enhancers characterized by exceptional occupancy of Mediator (MED1), the histone acetyltransferase EP300/CBP, and high enrichment of histone H3 lysine 27 acetylation (H3K27ac) (Whyte et al., 2013). Through phase-separated </w:t>
      </w:r>
      <w:proofErr w:type="spellStart"/>
      <w:r>
        <w:t>biomolecular</w:t>
      </w:r>
      <w:proofErr w:type="spellEnd"/>
      <w:r>
        <w:t xml:space="preserve"> condensation and long-range chromatin looping mediated by the CCCTC-binding factor (CTCF) and </w:t>
      </w:r>
      <w:proofErr w:type="spellStart"/>
      <w:r>
        <w:t>cohesin</w:t>
      </w:r>
      <w:proofErr w:type="spellEnd"/>
      <w:r>
        <w:t xml:space="preserve"> complexes (Ding et al., 2020; Sabari et al., 2018), super-enhancers compartmentalize the transcription apparatus to drive exceptionally high-level expression of lineage-defining master regulators and oncogenes (</w:t>
      </w:r>
      <w:proofErr w:type="spellStart"/>
      <w:r>
        <w:t>Bradner</w:t>
      </w:r>
      <w:proofErr w:type="spellEnd"/>
      <w:r>
        <w:t xml:space="preserve"> et al., 2017; </w:t>
      </w:r>
      <w:proofErr w:type="spellStart"/>
      <w:r>
        <w:t>Lovén</w:t>
      </w:r>
      <w:proofErr w:type="spellEnd"/>
      <w:r>
        <w:t xml:space="preserve"> et al., 2013).</w:t>
      </w:r>
    </w:p>
    <w:p w:rsidR="000E6725" w:rsidRDefault="004B7759">
      <w:r>
        <w:t xml:space="preserve">In basal-like TNBC, malignant cells undergo extensive epigenetic remodeling that establishes de novo super-enhancers at loci driving proliferation, </w:t>
      </w:r>
      <w:proofErr w:type="spellStart"/>
      <w:r>
        <w:t>stemness</w:t>
      </w:r>
      <w:proofErr w:type="spellEnd"/>
      <w:r>
        <w:t>, and epithelial-to-mesenchymal transition (EMT) (Franco et al., 2018; Lewis et al., 2024). Active enhancers frequently undergo bidirectional transcription into non-coding enhancer RNAs (</w:t>
      </w:r>
      <w:proofErr w:type="spellStart"/>
      <w:proofErr w:type="gramStart"/>
      <w:r>
        <w:t>eRNAs</w:t>
      </w:r>
      <w:proofErr w:type="spellEnd"/>
      <w:proofErr w:type="gramEnd"/>
      <w:r>
        <w:t>), which stabilize chromatin loops and facilitate RNA polymerase II elongation (Li et al., 2016). In a landmark functional screening study, Lewis et al. (2024) deployed pooled single-cell CRISPR-interference (</w:t>
      </w:r>
      <w:proofErr w:type="spellStart"/>
      <w:r>
        <w:t>CRISPRi</w:t>
      </w:r>
      <w:proofErr w:type="spellEnd"/>
      <w:r>
        <w:t>) tiling across hundreds of transcribed super-enhancers in the archetypal TNBC line MDA-MB-231, demonstrating that targeted silencing of specific distal super-enhancers severely impeded tumor growth and metastatic progression in vivo. Nevertheless, despite the identification of individual functional enhancers, resolving the compl</w:t>
      </w:r>
      <w:r w:rsidR="009B7AC0">
        <w:t>ete directed regulatory network (</w:t>
      </w:r>
      <w:r>
        <w:t>identifying which transcription factors physically occupy these elements and which downstream ta</w:t>
      </w:r>
      <w:r w:rsidR="009B7AC0">
        <w:t xml:space="preserve">rget genes they causally govern) </w:t>
      </w:r>
      <w:r>
        <w:t xml:space="preserve">has remained an elusive </w:t>
      </w:r>
      <w:proofErr w:type="spellStart"/>
      <w:r>
        <w:t>bioinformatic</w:t>
      </w:r>
      <w:proofErr w:type="spellEnd"/>
      <w:r>
        <w:t xml:space="preserve"> and statistical challenge.</w:t>
      </w:r>
    </w:p>
    <w:p w:rsidR="000E6725" w:rsidRDefault="004B7759">
      <w:pPr>
        <w:keepNext/>
        <w:spacing w:before="240" w:after="60"/>
        <w:jc w:val="left"/>
      </w:pPr>
      <w:r>
        <w:rPr>
          <w:b/>
        </w:rPr>
        <w:t>1.3 Inferential Challenges of Observational GRN Methods and Opportunities from Single-Cell CRISPRi</w:t>
      </w:r>
    </w:p>
    <w:p w:rsidR="000E6725" w:rsidRDefault="004B7759">
      <w:r>
        <w:t xml:space="preserve">Historically, Gene Regulatory Networks (GRNs) have been inferred from observational transcriptomic datasets using correlation metrics (Pearson, Spearman), mutual information algorithms (ARACNE, CLR) (Faith et al., 2007; </w:t>
      </w:r>
      <w:proofErr w:type="spellStart"/>
      <w:r>
        <w:t>Margolin</w:t>
      </w:r>
      <w:proofErr w:type="spellEnd"/>
      <w:r>
        <w:t xml:space="preserve"> et al., 2006), or non-linear regression ensembles (GENIE3, SCENIC) (</w:t>
      </w:r>
      <w:proofErr w:type="spellStart"/>
      <w:r>
        <w:t>Aibar</w:t>
      </w:r>
      <w:proofErr w:type="spellEnd"/>
      <w:r>
        <w:t xml:space="preserve"> et al., 2017; Huynh-Thu et al., 2010). However, the systematic application of observational algorithms to single-cell RNA-sequencing (scRNA-seq) has exposed catastrophic methodological limitations (Chan et al., 2017; Chen &amp; </w:t>
      </w:r>
      <w:proofErr w:type="gramStart"/>
      <w:r>
        <w:t>Mar,</w:t>
      </w:r>
      <w:proofErr w:type="gramEnd"/>
      <w:r>
        <w:t xml:space="preserve"> 2018; </w:t>
      </w:r>
      <w:r>
        <w:lastRenderedPageBreak/>
        <w:t xml:space="preserve">Pratapa et al., 2020). </w:t>
      </w:r>
      <w:r w:rsidR="009B7AC0" w:rsidRPr="009B7AC0">
        <w:t>Single-cell data suffer from severe technical zero-inflation, commonly designated as "dropout," arising from low mRNA capture efficiency and stochastic amplification bias (Dai et al., 2024). In that study, the authors provided rigorous mathematical proof that dropout zeros function as systematic confounders that alter joint probability distributions, inducing artificial statistical dependencies between completely unrelated genes.</w:t>
      </w:r>
    </w:p>
    <w:p w:rsidR="000E6725" w:rsidRDefault="004B7759">
      <w:r>
        <w:t xml:space="preserve">Furthermore, observational correlation cannot distinguish direct causal regulation from transitive dependencies or shared upstream confounding (Pearl, 2009; Peters et al., 2017; </w:t>
      </w:r>
      <w:proofErr w:type="spellStart"/>
      <w:r>
        <w:t>Spirtes</w:t>
      </w:r>
      <w:proofErr w:type="spellEnd"/>
      <w:r>
        <w:t xml:space="preserve"> et al., 2000). For instance, if master regulator A transcriptionally activates both intermediate gene B and target gene C, genes B and C will exhibit strong observational co-expression despite having zero regulatory relationship between them. In rigorous benchmarks against biological ground truth, observational GRN algorithms routinely exhibit False Discovery Rates (FDR) exceeding 45% to 50% (Pratapa et al., 2020; </w:t>
      </w:r>
      <w:proofErr w:type="spellStart"/>
      <w:r>
        <w:t>Shojaee</w:t>
      </w:r>
      <w:proofErr w:type="spellEnd"/>
      <w:r>
        <w:t xml:space="preserve"> &amp; Huang, 2023).</w:t>
      </w:r>
    </w:p>
    <w:p w:rsidR="000E6725" w:rsidRDefault="004B7759">
      <w:r>
        <w:t>To overcome observational confounding, the field of causal inference relies on experimental interventions, formalized by Judea Pearl’s interventional do-operator, do(X) (Pearl, 2009). The technological realization of this principle in single cells is Perturb-seq (</w:t>
      </w:r>
      <w:proofErr w:type="spellStart"/>
      <w:r>
        <w:t>CRISPRi</w:t>
      </w:r>
      <w:proofErr w:type="spellEnd"/>
      <w:r>
        <w:t xml:space="preserve"> with single-cell RNA-seq readout) (Adamson et al., 2016; </w:t>
      </w:r>
      <w:proofErr w:type="spellStart"/>
      <w:r>
        <w:t>Datlinger</w:t>
      </w:r>
      <w:proofErr w:type="spellEnd"/>
      <w:r>
        <w:t xml:space="preserve"> et al., 2017; Dixit et al., 2016; </w:t>
      </w:r>
      <w:proofErr w:type="spellStart"/>
      <w:r>
        <w:t>Jaitin</w:t>
      </w:r>
      <w:proofErr w:type="spellEnd"/>
      <w:r>
        <w:t xml:space="preserve"> et al., 2016; </w:t>
      </w:r>
      <w:proofErr w:type="spellStart"/>
      <w:r>
        <w:t>Replogle</w:t>
      </w:r>
      <w:proofErr w:type="spellEnd"/>
      <w:r>
        <w:t xml:space="preserve"> et al., 2022). By delivering pooled single-guide RNAs (sgRNAs) that direct catalytically dead Cas9 fused to the KRAB repressive domain (dCas9-KRAB) to silence specific distal enhancers at single-cell resolution (Gilbert et al., 2014; </w:t>
      </w:r>
      <w:proofErr w:type="spellStart"/>
      <w:r>
        <w:t>Replogle</w:t>
      </w:r>
      <w:proofErr w:type="spellEnd"/>
      <w:r>
        <w:t xml:space="preserve"> et al., 2020), Perturb-seq generates </w:t>
      </w:r>
      <w:proofErr w:type="spellStart"/>
      <w:r>
        <w:t>unconfounded</w:t>
      </w:r>
      <w:proofErr w:type="spellEnd"/>
      <w:r>
        <w:t xml:space="preserve">, randomized interventional distributions P(Y | do(Enhancer)) (Ji et al., 2021). When interventional functional perturbation data </w:t>
      </w:r>
      <w:proofErr w:type="gramStart"/>
      <w:r>
        <w:t>are triangulated</w:t>
      </w:r>
      <w:proofErr w:type="gramEnd"/>
      <w:r>
        <w:t xml:space="preserve"> with physical multi-omics binding priors (ENCODE </w:t>
      </w:r>
      <w:proofErr w:type="spellStart"/>
      <w:r>
        <w:t>ChIP</w:t>
      </w:r>
      <w:proofErr w:type="spellEnd"/>
      <w:r>
        <w:t xml:space="preserve">-seq), causal directionality can be resolved with mathematical </w:t>
      </w:r>
      <w:proofErr w:type="spellStart"/>
      <w:r>
        <w:t>identifiability</w:t>
      </w:r>
      <w:proofErr w:type="spellEnd"/>
      <w:r>
        <w:t xml:space="preserve"> (Hauser &amp; </w:t>
      </w:r>
      <w:proofErr w:type="spellStart"/>
      <w:r>
        <w:t>Bühlmann</w:t>
      </w:r>
      <w:proofErr w:type="spellEnd"/>
      <w:r>
        <w:t xml:space="preserve">, 2012; Peters et al., 2016; </w:t>
      </w:r>
      <w:proofErr w:type="spellStart"/>
      <w:r>
        <w:t>Shojaee</w:t>
      </w:r>
      <w:proofErr w:type="spellEnd"/>
      <w:r>
        <w:t xml:space="preserve"> &amp; Huang, 2023).</w:t>
      </w:r>
    </w:p>
    <w:p w:rsidR="000E6725" w:rsidRDefault="004B7759">
      <w:pPr>
        <w:keepNext/>
        <w:spacing w:before="240" w:after="60"/>
        <w:jc w:val="left"/>
      </w:pPr>
      <w:r>
        <w:rPr>
          <w:b/>
        </w:rPr>
        <w:t>1.4 Objectives of This Investigation: Integrating CRISPRi Perturbation Responses with Epigenomic Priors in TNBC</w:t>
      </w:r>
    </w:p>
    <w:p w:rsidR="000E6725" w:rsidRDefault="004B7759">
      <w:r>
        <w:rPr>
          <w:sz w:val="22"/>
        </w:rPr>
        <w:t>In this study, we establish a comprehensive computational framework that systematically integrates single-cell CRISPRi functional perturbations with physical chromatin binding priors to reconstruct a robust, tripartite regulatory network in Triple-Negative Breast Cancer. By combining interventional expression responses with ENCODE Factorbook ChIP-seq data across 819 somatic mutation-associated enhancer loci in MDA-MB-231 cells, our approach reduces false-positive edge inflation, prioritizes key master regulators using graph centrality and non-linear SHAP attributions, validates findings across 480 clinical TNBC patients, and models targeted epigenetic combinations in silico to nominate actionable therapeutic hypotheses.</w:t>
      </w:r>
    </w:p>
    <w:p w:rsidR="000E6725" w:rsidRDefault="004B7759">
      <w:pPr>
        <w:keepNext/>
        <w:spacing w:before="320" w:after="80"/>
        <w:jc w:val="left"/>
      </w:pPr>
      <w:r>
        <w:rPr>
          <w:b/>
          <w:sz w:val="28"/>
        </w:rPr>
        <w:t>2. Materials and Methods</w:t>
      </w:r>
    </w:p>
    <w:p w:rsidR="000E6725" w:rsidRDefault="004B7759">
      <w:pPr>
        <w:keepNext/>
        <w:spacing w:before="240" w:after="60"/>
        <w:jc w:val="left"/>
      </w:pPr>
      <w:proofErr w:type="gramStart"/>
      <w:r>
        <w:t>2.1</w:t>
      </w:r>
      <w:proofErr w:type="gramEnd"/>
      <w:r>
        <w:t xml:space="preserve"> Single-Cell </w:t>
      </w:r>
      <w:proofErr w:type="spellStart"/>
      <w:r>
        <w:t>CRISPRi</w:t>
      </w:r>
      <w:proofErr w:type="spellEnd"/>
      <w:r>
        <w:t xml:space="preserve"> Dataset Acquisition, Sparse Ingestion, and Quality Control</w:t>
      </w:r>
    </w:p>
    <w:p w:rsidR="000E6725" w:rsidRDefault="004B7759">
      <w:r>
        <w:t xml:space="preserve">High-throughput single-cell </w:t>
      </w:r>
      <w:proofErr w:type="spellStart"/>
      <w:r>
        <w:t>CRISPRi</w:t>
      </w:r>
      <w:proofErr w:type="spellEnd"/>
      <w:r>
        <w:t xml:space="preserve"> perturbation data for the mesenchymal TNBC cell line MDA-MB-231 were acquired from the NCBI Gene Expression Omnibus (GEO accession </w:t>
      </w:r>
      <w:r>
        <w:lastRenderedPageBreak/>
        <w:t>GSE224986; Somatic Mutation enhancer screen) (Lewis et al., 2024). The raw experimental repository comprises 95,678 single cells interrogated across 11,975 unique guide RNAs (sgRNAs) targeting distal super-enhancers and promoter elements, sequenced using 10x Genomics 3' single-cell chemistry with direct guide capture across 8 independent sequencing lanes (</w:t>
      </w:r>
      <w:proofErr w:type="spellStart"/>
      <w:r>
        <w:t>Replogle</w:t>
      </w:r>
      <w:proofErr w:type="spellEnd"/>
      <w:r>
        <w:t xml:space="preserve"> et al., 2020). To handle the high-dimensional count matrix (58,391 genes × 95,678 cells) without exceeding physical RAM boundaries, data ingestion </w:t>
      </w:r>
      <w:proofErr w:type="gramStart"/>
      <w:r>
        <w:t>was implemented</w:t>
      </w:r>
      <w:proofErr w:type="gramEnd"/>
      <w:r>
        <w:t xml:space="preserve"> via chunked Compressed Sparse Row (CSR) matrices using h5py and the </w:t>
      </w:r>
      <w:proofErr w:type="spellStart"/>
      <w:r>
        <w:t>AnnData</w:t>
      </w:r>
      <w:proofErr w:type="spellEnd"/>
      <w:r>
        <w:t xml:space="preserve"> computational container (Wolf et al., 2018).</w:t>
      </w:r>
    </w:p>
    <w:p w:rsidR="000E6725" w:rsidRDefault="004B7759">
      <w:r>
        <w:rPr>
          <w:sz w:val="22"/>
        </w:rPr>
        <w:t>Rigorous single-cell quality control filtering was executed using Scanpy (v1.9.8) (Wolf et al., 2018). Cells with fewer than 1,500 detected UMIs or fewer than 800 unique genes were excluded to eliminate empty droplets, while cells exceeding 35,000 UMIs or 6,500 genes were excluded to mitigate potential optical multiplets. Cells exhibiting greater than 15% mitochondrial reads were filtered to exclude damaged or apoptotic cells. Furthermore, genes detected in fewer than 10 cells were removed, yielding a refined high-confidence matrix of 95,678 single cells and 32,799 well-expressed genes. Single-guide RNA assignments required a minimum of 5 unique guide UMIs per cell, and droplets bearing multiple conflicting targeting guides were excluded from single-perturbation analyses. A curated pool of non-targeting sgRNA-bearing cells (n &gt; 5,000 control cells) served as the experimental baseline representing unperturbed cellular states.</w:t>
      </w:r>
    </w:p>
    <w:p w:rsidR="000E6725" w:rsidRDefault="004B7759">
      <w:pPr>
        <w:keepNext/>
        <w:spacing w:before="240" w:after="60"/>
        <w:jc w:val="left"/>
      </w:pPr>
      <w:r>
        <w:t>2.2 Epigenetic Multi-Omics Transcription Factor Prior Mapping</w:t>
      </w:r>
    </w:p>
    <w:p w:rsidR="000E6725" w:rsidRDefault="004B7759">
      <w:r>
        <w:rPr>
          <w:sz w:val="22"/>
        </w:rPr>
        <w:t>To establish physical regulatory plausibility, genomic coordinates for 819 somatic mutation enhancer loci targeted in the CRISPRi screen (Lewis et al., 2024) were mapped against genome-wide transcription factor ChIP-seq peaks from the ENCODE Factorbook repository (encRegTfbsClustered, GRCh38 assembly). Binding peaks within a ±500 bp window of targeted enhancer coordinates were extracted across 161 sequence-specific transcription factors. Because ENCODE clustered priors aggregate experimental binding evidence across diverse human cell types, these data serve as an external physical binding plausibility filter, identifying 15,057 candidate TF–enhancer binding events associated with normalized peak confidence scores C_ChIP ∈ [0, 1] (Supplementary Table 1).</w:t>
      </w:r>
    </w:p>
    <w:p w:rsidR="000E6725" w:rsidRDefault="004B7759">
      <w:pPr>
        <w:keepNext/>
        <w:spacing w:before="240" w:after="60"/>
        <w:jc w:val="left"/>
      </w:pPr>
      <w:r>
        <w:t xml:space="preserve">2.3 Single-Cell Phenotypic States and </w:t>
      </w:r>
      <w:proofErr w:type="spellStart"/>
      <w:r>
        <w:t>Vectorized</w:t>
      </w:r>
      <w:proofErr w:type="spellEnd"/>
      <w:r>
        <w:t xml:space="preserve"> Perturbation Testing</w:t>
      </w:r>
    </w:p>
    <w:p w:rsidR="000E6725" w:rsidRDefault="004B7759">
      <w:r>
        <w:rPr>
          <w:color w:val="333333"/>
          <w:sz w:val="22"/>
        </w:rPr>
        <w:t xml:space="preserve">Single-cell gene expression counts were normalized to 10,000 counts per cell (CP10k) and log-transformed: </w:t>
      </w:r>
      <w:r>
        <w:rPr>
          <w:i/>
          <w:color w:val="333333"/>
          <w:sz w:val="22"/>
        </w:rPr>
        <w:t>X</w:t>
      </w:r>
      <w:r>
        <w:rPr>
          <w:color w:val="333333"/>
          <w:sz w:val="22"/>
          <w:vertAlign w:val="subscript"/>
        </w:rPr>
        <w:t>norm</w:t>
      </w:r>
      <w:r>
        <w:rPr>
          <w:color w:val="333333"/>
          <w:sz w:val="22"/>
        </w:rPr>
        <w:t xml:space="preserve"> = ln(1 + CP10k). The top 2,000 highly variable genes (HVGs) were selected using dispersion binning. Dimensionality reduction was performed via Principal Component Analysis (50 PCs), followed by Uniform Manifold Approximation and Projection (UMAP) and graph-based community detection using the Leiden algorithm (flavor='igraph', resolution = 0.5) (Traag et al., 2019), partitioning the cells into 12 distinct phenotypic states (Clusters 0 to 11).</w:t>
      </w:r>
    </w:p>
    <w:p w:rsidR="000E6725" w:rsidRDefault="004B7759">
      <w:r>
        <w:rPr>
          <w:sz w:val="22"/>
        </w:rPr>
        <w:t>To quantify the functional regulatory effect of each enhancer perturbation, we implemented a vectorized two-sample Welch's t-test comparing target gene expression between perturbed cells (bearing sgRNAs targeting enhancer e) and the non-targeting control pool. Aggregating cells per target enhancer locus (median ~14 sgRNAs and hundreds of cells per locus) effectively provided pseudobulk-level replicate power, mitigating droplet-level variance and technical dropout. For each enhancer–gene pair, the unequal-variance test statistic was computed:</w:t>
      </w:r>
    </w:p>
    <w:p w:rsidR="000E6725" w:rsidRDefault="004B7759">
      <w:pPr>
        <w:spacing w:before="160" w:after="160"/>
        <w:ind w:left="288" w:right="288"/>
        <w:jc w:val="center"/>
      </w:pPr>
      <m:oMathPara>
        <m:oMath>
          <m:r>
            <w:rPr>
              <w:rFonts w:ascii="Cambria Math" w:hAnsi="Cambria Math"/>
            </w:rPr>
            <w:lastRenderedPageBreak/>
            <m:t>t=</m:t>
          </m:r>
          <m:f>
            <m:fPr>
              <m:ctrlPr>
                <w:rPr>
                  <w:rFonts w:ascii="Cambria Math" w:hAnsi="Cambria Math"/>
                </w:rPr>
              </m:ctrlPr>
            </m:fPr>
            <m:num>
              <m:sSub>
                <m:sSubPr>
                  <m:ctrlPr>
                    <w:rPr>
                      <w:rFonts w:ascii="Cambria Math" w:hAnsi="Cambria Math"/>
                    </w:rPr>
                  </m:ctrlPr>
                </m:sSubPr>
                <m:e>
                  <m:bar>
                    <m:barPr>
                      <m:pos m:val="top"/>
                      <m:ctrlPr>
                        <w:rPr>
                          <w:rFonts w:ascii="Cambria Math" w:hAnsi="Cambria Math"/>
                        </w:rPr>
                      </m:ctrlPr>
                    </m:barPr>
                    <m:e>
                      <m:r>
                        <w:rPr>
                          <w:rFonts w:ascii="Cambria Math" w:hAnsi="Cambria Math"/>
                        </w:rPr>
                        <m:t>X</m:t>
                      </m:r>
                    </m:e>
                  </m:bar>
                </m:e>
                <m:sub>
                  <m:r>
                    <w:rPr>
                      <w:rFonts w:ascii="Cambria Math" w:hAnsi="Cambria Math"/>
                    </w:rPr>
                    <m:t>1</m:t>
                  </m:r>
                </m:sub>
              </m:sSub>
              <m:r>
                <w:rPr>
                  <w:rFonts w:ascii="Cambria Math" w:hAnsi="Cambria Math"/>
                </w:rPr>
                <m:t>-</m:t>
              </m:r>
              <m:sSub>
                <m:sSubPr>
                  <m:ctrlPr>
                    <w:rPr>
                      <w:rFonts w:ascii="Cambria Math" w:hAnsi="Cambria Math"/>
                    </w:rPr>
                  </m:ctrlPr>
                </m:sSubPr>
                <m:e>
                  <m:bar>
                    <m:barPr>
                      <m:pos m:val="top"/>
                      <m:ctrlPr>
                        <w:rPr>
                          <w:rFonts w:ascii="Cambria Math" w:hAnsi="Cambria Math"/>
                        </w:rPr>
                      </m:ctrlPr>
                    </m:barPr>
                    <m:e>
                      <m:r>
                        <w:rPr>
                          <w:rFonts w:ascii="Cambria Math" w:hAnsi="Cambria Math"/>
                        </w:rPr>
                        <m:t>X</m:t>
                      </m:r>
                    </m:e>
                  </m:bar>
                </m:e>
                <m:sub>
                  <m:r>
                    <w:rPr>
                      <w:rFonts w:ascii="Cambria Math" w:hAnsi="Cambria Math"/>
                    </w:rPr>
                    <m:t>0</m:t>
                  </m:r>
                </m:sub>
              </m:sSub>
            </m:num>
            <m:den>
              <m:rad>
                <m:radPr>
                  <m:degHide m:val="1"/>
                  <m:ctrlPr>
                    <w:rPr>
                      <w:rFonts w:ascii="Cambria Math" w:hAnsi="Cambria Math"/>
                    </w:rPr>
                  </m:ctrlPr>
                </m:radPr>
                <m:deg/>
                <m:e>
                  <m:f>
                    <m:fPr>
                      <m:ctrlPr>
                        <w:rPr>
                          <w:rFonts w:ascii="Cambria Math" w:hAnsi="Cambria Math"/>
                        </w:rPr>
                      </m:ctrlPr>
                    </m:fPr>
                    <m:num>
                      <m:sSubSup>
                        <m:sSubSupPr>
                          <m:ctrlPr>
                            <w:rPr>
                              <w:rFonts w:ascii="Cambria Math" w:hAnsi="Cambria Math"/>
                            </w:rPr>
                          </m:ctrlPr>
                        </m:sSubSupPr>
                        <m:e>
                          <m:r>
                            <w:rPr>
                              <w:rFonts w:ascii="Cambria Math" w:hAnsi="Cambria Math"/>
                            </w:rPr>
                            <m:t>s</m:t>
                          </m:r>
                        </m:e>
                        <m:sub>
                          <m:r>
                            <w:rPr>
                              <w:rFonts w:ascii="Cambria Math" w:hAnsi="Cambria Math"/>
                            </w:rPr>
                            <m:t>1</m:t>
                          </m:r>
                        </m:sub>
                        <m:sup>
                          <m:r>
                            <w:rPr>
                              <w:rFonts w:ascii="Cambria Math" w:hAnsi="Cambria Math"/>
                            </w:rPr>
                            <m:t>2</m:t>
                          </m:r>
                        </m:sup>
                      </m:sSubSup>
                    </m:num>
                    <m:den>
                      <m:sSub>
                        <m:sSubPr>
                          <m:ctrlPr>
                            <w:rPr>
                              <w:rFonts w:ascii="Cambria Math" w:hAnsi="Cambria Math"/>
                            </w:rPr>
                          </m:ctrlPr>
                        </m:sSubPr>
                        <m:e>
                          <m:r>
                            <w:rPr>
                              <w:rFonts w:ascii="Cambria Math" w:hAnsi="Cambria Math"/>
                            </w:rPr>
                            <m:t>n</m:t>
                          </m:r>
                        </m:e>
                        <m:sub>
                          <m:r>
                            <w:rPr>
                              <w:rFonts w:ascii="Cambria Math" w:hAnsi="Cambria Math"/>
                            </w:rPr>
                            <m:t>1</m:t>
                          </m:r>
                        </m:sub>
                      </m:sSub>
                    </m:den>
                  </m:f>
                  <m:r>
                    <w:rPr>
                      <w:rFonts w:ascii="Cambria Math" w:hAnsi="Cambria Math"/>
                    </w:rPr>
                    <m:t>+</m:t>
                  </m:r>
                  <m:f>
                    <m:fPr>
                      <m:ctrlPr>
                        <w:rPr>
                          <w:rFonts w:ascii="Cambria Math" w:hAnsi="Cambria Math"/>
                        </w:rPr>
                      </m:ctrlPr>
                    </m:fPr>
                    <m:num>
                      <m:sSubSup>
                        <m:sSubSupPr>
                          <m:ctrlPr>
                            <w:rPr>
                              <w:rFonts w:ascii="Cambria Math" w:hAnsi="Cambria Math"/>
                            </w:rPr>
                          </m:ctrlPr>
                        </m:sSubSupPr>
                        <m:e>
                          <m:r>
                            <w:rPr>
                              <w:rFonts w:ascii="Cambria Math" w:hAnsi="Cambria Math"/>
                            </w:rPr>
                            <m:t>s</m:t>
                          </m:r>
                        </m:e>
                        <m:sub>
                          <m:r>
                            <w:rPr>
                              <w:rFonts w:ascii="Cambria Math" w:hAnsi="Cambria Math"/>
                            </w:rPr>
                            <m:t>0</m:t>
                          </m:r>
                        </m:sub>
                        <m:sup>
                          <m:r>
                            <w:rPr>
                              <w:rFonts w:ascii="Cambria Math" w:hAnsi="Cambria Math"/>
                            </w:rPr>
                            <m:t>2</m:t>
                          </m:r>
                        </m:sup>
                      </m:sSubSup>
                    </m:num>
                    <m:den>
                      <m:sSub>
                        <m:sSubPr>
                          <m:ctrlPr>
                            <w:rPr>
                              <w:rFonts w:ascii="Cambria Math" w:hAnsi="Cambria Math"/>
                            </w:rPr>
                          </m:ctrlPr>
                        </m:sSubPr>
                        <m:e>
                          <m:r>
                            <w:rPr>
                              <w:rFonts w:ascii="Cambria Math" w:hAnsi="Cambria Math"/>
                            </w:rPr>
                            <m:t>n</m:t>
                          </m:r>
                        </m:e>
                        <m:sub>
                          <m:r>
                            <w:rPr>
                              <w:rFonts w:ascii="Cambria Math" w:hAnsi="Cambria Math"/>
                            </w:rPr>
                            <m:t>0</m:t>
                          </m:r>
                        </m:sub>
                      </m:sSub>
                    </m:den>
                  </m:f>
                </m:e>
              </m:rad>
            </m:den>
          </m:f>
          <m:r>
            <w:rPr>
              <w:rFonts w:ascii="Cambria Math" w:hAnsi="Cambria Math"/>
            </w:rPr>
            <m:t>,ν≈</m:t>
          </m:r>
          <m:f>
            <m:fPr>
              <m:ctrlPr>
                <w:rPr>
                  <w:rFonts w:ascii="Cambria Math" w:hAnsi="Cambria Math"/>
                </w:rPr>
              </m:ctrlPr>
            </m:fPr>
            <m:num>
              <m:sSup>
                <m:sSupPr>
                  <m:ctrlPr>
                    <w:rPr>
                      <w:rFonts w:ascii="Cambria Math" w:hAnsi="Cambria Math"/>
                    </w:rPr>
                  </m:ctrlPr>
                </m:sSupPr>
                <m:e>
                  <m:d>
                    <m:dPr>
                      <m:ctrlPr>
                        <w:rPr>
                          <w:rFonts w:ascii="Cambria Math" w:hAnsi="Cambria Math"/>
                        </w:rPr>
                      </m:ctrlPr>
                    </m:dPr>
                    <m:e>
                      <m:f>
                        <m:fPr>
                          <m:ctrlPr>
                            <w:rPr>
                              <w:rFonts w:ascii="Cambria Math" w:hAnsi="Cambria Math"/>
                            </w:rPr>
                          </m:ctrlPr>
                        </m:fPr>
                        <m:num>
                          <m:sSubSup>
                            <m:sSubSupPr>
                              <m:ctrlPr>
                                <w:rPr>
                                  <w:rFonts w:ascii="Cambria Math" w:hAnsi="Cambria Math"/>
                                </w:rPr>
                              </m:ctrlPr>
                            </m:sSubSupPr>
                            <m:e>
                              <m:r>
                                <w:rPr>
                                  <w:rFonts w:ascii="Cambria Math" w:hAnsi="Cambria Math"/>
                                </w:rPr>
                                <m:t>s</m:t>
                              </m:r>
                            </m:e>
                            <m:sub>
                              <m:r>
                                <w:rPr>
                                  <w:rFonts w:ascii="Cambria Math" w:hAnsi="Cambria Math"/>
                                </w:rPr>
                                <m:t>1</m:t>
                              </m:r>
                            </m:sub>
                            <m:sup>
                              <m:r>
                                <w:rPr>
                                  <w:rFonts w:ascii="Cambria Math" w:hAnsi="Cambria Math"/>
                                </w:rPr>
                                <m:t>2</m:t>
                              </m:r>
                            </m:sup>
                          </m:sSubSup>
                        </m:num>
                        <m:den>
                          <m:sSub>
                            <m:sSubPr>
                              <m:ctrlPr>
                                <w:rPr>
                                  <w:rFonts w:ascii="Cambria Math" w:hAnsi="Cambria Math"/>
                                </w:rPr>
                              </m:ctrlPr>
                            </m:sSubPr>
                            <m:e>
                              <m:r>
                                <w:rPr>
                                  <w:rFonts w:ascii="Cambria Math" w:hAnsi="Cambria Math"/>
                                </w:rPr>
                                <m:t>n</m:t>
                              </m:r>
                            </m:e>
                            <m:sub>
                              <m:r>
                                <w:rPr>
                                  <w:rFonts w:ascii="Cambria Math" w:hAnsi="Cambria Math"/>
                                </w:rPr>
                                <m:t>1</m:t>
                              </m:r>
                            </m:sub>
                          </m:sSub>
                        </m:den>
                      </m:f>
                      <m:r>
                        <w:rPr>
                          <w:rFonts w:ascii="Cambria Math" w:hAnsi="Cambria Math"/>
                        </w:rPr>
                        <m:t>+</m:t>
                      </m:r>
                      <m:f>
                        <m:fPr>
                          <m:ctrlPr>
                            <w:rPr>
                              <w:rFonts w:ascii="Cambria Math" w:hAnsi="Cambria Math"/>
                            </w:rPr>
                          </m:ctrlPr>
                        </m:fPr>
                        <m:num>
                          <m:sSubSup>
                            <m:sSubSupPr>
                              <m:ctrlPr>
                                <w:rPr>
                                  <w:rFonts w:ascii="Cambria Math" w:hAnsi="Cambria Math"/>
                                </w:rPr>
                              </m:ctrlPr>
                            </m:sSubSupPr>
                            <m:e>
                              <m:r>
                                <w:rPr>
                                  <w:rFonts w:ascii="Cambria Math" w:hAnsi="Cambria Math"/>
                                </w:rPr>
                                <m:t>s</m:t>
                              </m:r>
                            </m:e>
                            <m:sub>
                              <m:r>
                                <w:rPr>
                                  <w:rFonts w:ascii="Cambria Math" w:hAnsi="Cambria Math"/>
                                </w:rPr>
                                <m:t>0</m:t>
                              </m:r>
                            </m:sub>
                            <m:sup>
                              <m:r>
                                <w:rPr>
                                  <w:rFonts w:ascii="Cambria Math" w:hAnsi="Cambria Math"/>
                                </w:rPr>
                                <m:t>2</m:t>
                              </m:r>
                            </m:sup>
                          </m:sSubSup>
                        </m:num>
                        <m:den>
                          <m:sSub>
                            <m:sSubPr>
                              <m:ctrlPr>
                                <w:rPr>
                                  <w:rFonts w:ascii="Cambria Math" w:hAnsi="Cambria Math"/>
                                </w:rPr>
                              </m:ctrlPr>
                            </m:sSubPr>
                            <m:e>
                              <m:r>
                                <w:rPr>
                                  <w:rFonts w:ascii="Cambria Math" w:hAnsi="Cambria Math"/>
                                </w:rPr>
                                <m:t>n</m:t>
                              </m:r>
                            </m:e>
                            <m:sub>
                              <m:r>
                                <w:rPr>
                                  <w:rFonts w:ascii="Cambria Math" w:hAnsi="Cambria Math"/>
                                </w:rPr>
                                <m:t>0</m:t>
                              </m:r>
                            </m:sub>
                          </m:sSub>
                        </m:den>
                      </m:f>
                    </m:e>
                  </m:d>
                </m:e>
                <m:sup>
                  <m:r>
                    <w:rPr>
                      <w:rFonts w:ascii="Cambria Math" w:hAnsi="Cambria Math"/>
                    </w:rPr>
                    <m:t>2</m:t>
                  </m:r>
                </m:sup>
              </m:sSup>
            </m:num>
            <m:den>
              <m:f>
                <m:fPr>
                  <m:ctrlPr>
                    <w:rPr>
                      <w:rFonts w:ascii="Cambria Math" w:hAnsi="Cambria Math"/>
                    </w:rPr>
                  </m:ctrlPr>
                </m:fPr>
                <m:num>
                  <m:sSup>
                    <m:sSupPr>
                      <m:ctrlPr>
                        <w:rPr>
                          <w:rFonts w:ascii="Cambria Math" w:hAnsi="Cambria Math"/>
                        </w:rPr>
                      </m:ctrlPr>
                    </m:sSupPr>
                    <m:e>
                      <m:d>
                        <m:dPr>
                          <m:ctrlPr>
                            <w:rPr>
                              <w:rFonts w:ascii="Cambria Math" w:hAnsi="Cambria Math"/>
                            </w:rPr>
                          </m:ctrlPr>
                        </m:dPr>
                        <m:e>
                          <m:f>
                            <m:fPr>
                              <m:type m:val="lin"/>
                              <m:ctrlPr>
                                <w:rPr>
                                  <w:rFonts w:ascii="Cambria Math" w:hAnsi="Cambria Math"/>
                                </w:rPr>
                              </m:ctrlPr>
                            </m:fPr>
                            <m:num>
                              <m:sSubSup>
                                <m:sSubSupPr>
                                  <m:ctrlPr>
                                    <w:rPr>
                                      <w:rFonts w:ascii="Cambria Math" w:hAnsi="Cambria Math"/>
                                    </w:rPr>
                                  </m:ctrlPr>
                                </m:sSubSupPr>
                                <m:e>
                                  <m:r>
                                    <w:rPr>
                                      <w:rFonts w:ascii="Cambria Math" w:hAnsi="Cambria Math"/>
                                    </w:rPr>
                                    <m:t>s</m:t>
                                  </m:r>
                                </m:e>
                                <m:sub>
                                  <m:r>
                                    <w:rPr>
                                      <w:rFonts w:ascii="Cambria Math" w:hAnsi="Cambria Math"/>
                                    </w:rPr>
                                    <m:t>1</m:t>
                                  </m:r>
                                </m:sub>
                                <m:sup>
                                  <m:r>
                                    <w:rPr>
                                      <w:rFonts w:ascii="Cambria Math" w:hAnsi="Cambria Math"/>
                                    </w:rPr>
                                    <m:t>2</m:t>
                                  </m:r>
                                </m:sup>
                              </m:sSubSup>
                            </m:num>
                            <m:den>
                              <m:sSub>
                                <m:sSubPr>
                                  <m:ctrlPr>
                                    <w:rPr>
                                      <w:rFonts w:ascii="Cambria Math" w:hAnsi="Cambria Math"/>
                                    </w:rPr>
                                  </m:ctrlPr>
                                </m:sSubPr>
                                <m:e>
                                  <m:r>
                                    <w:rPr>
                                      <w:rFonts w:ascii="Cambria Math" w:hAnsi="Cambria Math"/>
                                    </w:rPr>
                                    <m:t>n</m:t>
                                  </m:r>
                                </m:e>
                                <m:sub>
                                  <m:r>
                                    <w:rPr>
                                      <w:rFonts w:ascii="Cambria Math" w:hAnsi="Cambria Math"/>
                                    </w:rPr>
                                    <m:t>1</m:t>
                                  </m:r>
                                </m:sub>
                              </m:sSub>
                            </m:den>
                          </m:f>
                        </m:e>
                      </m:d>
                    </m:e>
                    <m:sup>
                      <m:r>
                        <w:rPr>
                          <w:rFonts w:ascii="Cambria Math" w:hAnsi="Cambria Math"/>
                        </w:rPr>
                        <m:t>2</m:t>
                      </m:r>
                    </m:sup>
                  </m:sSup>
                </m:num>
                <m:den>
                  <m:sSub>
                    <m:sSubPr>
                      <m:ctrlPr>
                        <w:rPr>
                          <w:rFonts w:ascii="Cambria Math" w:hAnsi="Cambria Math"/>
                        </w:rPr>
                      </m:ctrlPr>
                    </m:sSubPr>
                    <m:e>
                      <m:r>
                        <w:rPr>
                          <w:rFonts w:ascii="Cambria Math" w:hAnsi="Cambria Math"/>
                        </w:rPr>
                        <m:t>n</m:t>
                      </m:r>
                    </m:e>
                    <m:sub>
                      <m:r>
                        <w:rPr>
                          <w:rFonts w:ascii="Cambria Math" w:hAnsi="Cambria Math"/>
                        </w:rPr>
                        <m:t>1</m:t>
                      </m:r>
                    </m:sub>
                  </m:sSub>
                  <m:r>
                    <w:rPr>
                      <w:rFonts w:ascii="Cambria Math" w:hAnsi="Cambria Math"/>
                    </w:rPr>
                    <m:t>-1</m:t>
                  </m:r>
                </m:den>
              </m:f>
              <m:r>
                <w:rPr>
                  <w:rFonts w:ascii="Cambria Math" w:hAnsi="Cambria Math"/>
                </w:rPr>
                <m:t>+</m:t>
              </m:r>
              <m:f>
                <m:fPr>
                  <m:ctrlPr>
                    <w:rPr>
                      <w:rFonts w:ascii="Cambria Math" w:hAnsi="Cambria Math"/>
                    </w:rPr>
                  </m:ctrlPr>
                </m:fPr>
                <m:num>
                  <m:sSup>
                    <m:sSupPr>
                      <m:ctrlPr>
                        <w:rPr>
                          <w:rFonts w:ascii="Cambria Math" w:hAnsi="Cambria Math"/>
                        </w:rPr>
                      </m:ctrlPr>
                    </m:sSupPr>
                    <m:e>
                      <m:d>
                        <m:dPr>
                          <m:ctrlPr>
                            <w:rPr>
                              <w:rFonts w:ascii="Cambria Math" w:hAnsi="Cambria Math"/>
                            </w:rPr>
                          </m:ctrlPr>
                        </m:dPr>
                        <m:e>
                          <m:f>
                            <m:fPr>
                              <m:type m:val="lin"/>
                              <m:ctrlPr>
                                <w:rPr>
                                  <w:rFonts w:ascii="Cambria Math" w:hAnsi="Cambria Math"/>
                                </w:rPr>
                              </m:ctrlPr>
                            </m:fPr>
                            <m:num>
                              <m:sSubSup>
                                <m:sSubSupPr>
                                  <m:ctrlPr>
                                    <w:rPr>
                                      <w:rFonts w:ascii="Cambria Math" w:hAnsi="Cambria Math"/>
                                    </w:rPr>
                                  </m:ctrlPr>
                                </m:sSubSupPr>
                                <m:e>
                                  <m:r>
                                    <w:rPr>
                                      <w:rFonts w:ascii="Cambria Math" w:hAnsi="Cambria Math"/>
                                    </w:rPr>
                                    <m:t>s</m:t>
                                  </m:r>
                                </m:e>
                                <m:sub>
                                  <m:r>
                                    <w:rPr>
                                      <w:rFonts w:ascii="Cambria Math" w:hAnsi="Cambria Math"/>
                                    </w:rPr>
                                    <m:t>0</m:t>
                                  </m:r>
                                </m:sub>
                                <m:sup>
                                  <m:r>
                                    <w:rPr>
                                      <w:rFonts w:ascii="Cambria Math" w:hAnsi="Cambria Math"/>
                                    </w:rPr>
                                    <m:t>2</m:t>
                                  </m:r>
                                </m:sup>
                              </m:sSubSup>
                            </m:num>
                            <m:den>
                              <m:sSub>
                                <m:sSubPr>
                                  <m:ctrlPr>
                                    <w:rPr>
                                      <w:rFonts w:ascii="Cambria Math" w:hAnsi="Cambria Math"/>
                                    </w:rPr>
                                  </m:ctrlPr>
                                </m:sSubPr>
                                <m:e>
                                  <m:r>
                                    <w:rPr>
                                      <w:rFonts w:ascii="Cambria Math" w:hAnsi="Cambria Math"/>
                                    </w:rPr>
                                    <m:t>n</m:t>
                                  </m:r>
                                </m:e>
                                <m:sub>
                                  <m:r>
                                    <w:rPr>
                                      <w:rFonts w:ascii="Cambria Math" w:hAnsi="Cambria Math"/>
                                    </w:rPr>
                                    <m:t>0</m:t>
                                  </m:r>
                                </m:sub>
                              </m:sSub>
                            </m:den>
                          </m:f>
                        </m:e>
                      </m:d>
                    </m:e>
                    <m:sup>
                      <m:r>
                        <w:rPr>
                          <w:rFonts w:ascii="Cambria Math" w:hAnsi="Cambria Math"/>
                        </w:rPr>
                        <m:t>2</m:t>
                      </m:r>
                    </m:sup>
                  </m:sSup>
                </m:num>
                <m:den>
                  <m:sSub>
                    <m:sSubPr>
                      <m:ctrlPr>
                        <w:rPr>
                          <w:rFonts w:ascii="Cambria Math" w:hAnsi="Cambria Math"/>
                        </w:rPr>
                      </m:ctrlPr>
                    </m:sSubPr>
                    <m:e>
                      <m:r>
                        <w:rPr>
                          <w:rFonts w:ascii="Cambria Math" w:hAnsi="Cambria Math"/>
                        </w:rPr>
                        <m:t>n</m:t>
                      </m:r>
                    </m:e>
                    <m:sub>
                      <m:r>
                        <w:rPr>
                          <w:rFonts w:ascii="Cambria Math" w:hAnsi="Cambria Math"/>
                        </w:rPr>
                        <m:t>0</m:t>
                      </m:r>
                    </m:sub>
                  </m:sSub>
                  <m:r>
                    <w:rPr>
                      <w:rFonts w:ascii="Cambria Math" w:hAnsi="Cambria Math"/>
                    </w:rPr>
                    <m:t>-1</m:t>
                  </m:r>
                </m:den>
              </m:f>
            </m:den>
          </m:f>
        </m:oMath>
      </m:oMathPara>
    </w:p>
    <w:p w:rsidR="000E6725" w:rsidRDefault="004B7759">
      <w:r>
        <w:t xml:space="preserve">where </w:t>
      </w:r>
      <w:r>
        <w:rPr>
          <w:i/>
        </w:rPr>
        <w:t>X̄</w:t>
      </w:r>
      <w:r>
        <w:rPr>
          <w:vertAlign w:val="subscript"/>
        </w:rPr>
        <w:t>1</w:t>
      </w:r>
      <w:r>
        <w:t xml:space="preserve">, </w:t>
      </w:r>
      <w:r>
        <w:rPr>
          <w:i/>
        </w:rPr>
        <w:t>s</w:t>
      </w:r>
      <w:r>
        <w:rPr>
          <w:vertAlign w:val="subscript"/>
        </w:rPr>
        <w:t>1</w:t>
      </w:r>
      <w:r>
        <w:rPr>
          <w:vertAlign w:val="superscript"/>
        </w:rPr>
        <w:t>2</w:t>
      </w:r>
      <w:r>
        <w:t xml:space="preserve">, and </w:t>
      </w:r>
      <w:r>
        <w:rPr>
          <w:i/>
        </w:rPr>
        <w:t>n</w:t>
      </w:r>
      <w:r>
        <w:rPr>
          <w:vertAlign w:val="subscript"/>
        </w:rPr>
        <w:t>1</w:t>
      </w:r>
      <w:r>
        <w:t xml:space="preserve"> denote the sample mean expression, sample variance, and cell count in the perturbed single-guide cell cohort, while </w:t>
      </w:r>
      <w:r>
        <w:rPr>
          <w:i/>
        </w:rPr>
        <w:t>X̄</w:t>
      </w:r>
      <w:r>
        <w:rPr>
          <w:vertAlign w:val="subscript"/>
        </w:rPr>
        <w:t>0</w:t>
      </w:r>
      <w:r>
        <w:t xml:space="preserve">, </w:t>
      </w:r>
      <w:r>
        <w:rPr>
          <w:i/>
        </w:rPr>
        <w:t>s</w:t>
      </w:r>
      <w:r>
        <w:rPr>
          <w:vertAlign w:val="subscript"/>
        </w:rPr>
        <w:t>0</w:t>
      </w:r>
      <w:r>
        <w:rPr>
          <w:vertAlign w:val="superscript"/>
        </w:rPr>
        <w:t>2</w:t>
      </w:r>
      <w:r>
        <w:t xml:space="preserve">, and </w:t>
      </w:r>
      <w:r>
        <w:rPr>
          <w:i/>
        </w:rPr>
        <w:t>n</w:t>
      </w:r>
      <w:r>
        <w:rPr>
          <w:vertAlign w:val="subscript"/>
        </w:rPr>
        <w:t>0</w:t>
      </w:r>
      <w:r>
        <w:t xml:space="preserve"> denote the corresponding values in the negative control cohort, with Satterthwaite degrees of freedom </w:t>
      </w:r>
      <w:r>
        <w:rPr>
          <w:i/>
        </w:rPr>
        <w:t>ν</w:t>
      </w:r>
      <w:r>
        <w:t>. Candidate interventional regulatory responses were filtered at thresholds of |log</w:t>
      </w:r>
      <w:r>
        <w:rPr>
          <w:vertAlign w:val="subscript"/>
        </w:rPr>
        <w:t>2</w:t>
      </w:r>
      <w:r>
        <w:t xml:space="preserve"> FC(e, j)| ≥ 0.25 and |</w:t>
      </w:r>
      <w:r>
        <w:rPr>
          <w:i/>
        </w:rPr>
        <w:t>t</w:t>
      </w:r>
      <w:r>
        <w:t>(e, j)| ≥ 2.5 (p &lt; 0.012), generating a functional interventional response matrix encompassing 1,110,566 candidate functional edges across 819 targeted super-enhancers and 32,799 target genes (Supplementary Data 2).</w:t>
      </w:r>
    </w:p>
    <w:p w:rsidR="000E6725" w:rsidRDefault="004B7759">
      <w:pPr>
        <w:keepNext/>
        <w:spacing w:before="240" w:after="60"/>
        <w:jc w:val="left"/>
      </w:pPr>
      <w:r>
        <w:t>2.4 Triangulated Causal Tripartite Network Inference</w:t>
      </w:r>
    </w:p>
    <w:p w:rsidR="000E6725" w:rsidRDefault="004B7759">
      <w:r>
        <w:rPr>
          <w:sz w:val="22"/>
        </w:rPr>
        <w:t>To construct the tripartite network, we established a composite evidence integration rule that couples physical binding plausibility (TF → Enhancer) with functional perturbation responsiveness (Enhancer → Target Gene). While the Enhancer → Target Gene relationship is interventional under CRISPRi (Pearl's do-calculus), the TF → Enhancer relationship represents an observational chromatin occupancy prior. The composite regulatory edge weight W_causal(i, e, j) for transcription factor i, enhancer e, and target gene j was formulated as:</w:t>
      </w:r>
    </w:p>
    <w:p w:rsidR="000E6725" w:rsidRDefault="00FA1697">
      <w:pPr>
        <w:spacing w:before="160" w:after="160"/>
        <w:ind w:left="288" w:right="288"/>
        <w:jc w:val="center"/>
      </w:pPr>
      <m:oMath>
        <m:sSub>
          <m:sSubPr>
            <m:ctrlPr>
              <w:rPr>
                <w:rFonts w:ascii="Cambria Math" w:hAnsi="Cambria Math"/>
              </w:rPr>
            </m:ctrlPr>
          </m:sSubPr>
          <m:e>
            <m:r>
              <w:rPr>
                <w:rFonts w:ascii="Cambria Math" w:hAnsi="Cambria Math"/>
              </w:rPr>
              <m:t>W</m:t>
            </m:r>
          </m:e>
          <m:sub>
            <m:r>
              <m:rPr>
                <m:nor/>
              </m:rPr>
              <m:t>causal</m:t>
            </m:r>
          </m:sub>
        </m:sSub>
        <m:d>
          <m:dPr>
            <m:ctrlPr>
              <w:rPr>
                <w:rFonts w:ascii="Cambria Math" w:hAnsi="Cambria Math"/>
              </w:rPr>
            </m:ctrlPr>
          </m:dPr>
          <m:e>
            <m:r>
              <w:rPr>
                <w:rFonts w:ascii="Cambria Math" w:hAnsi="Cambria Math"/>
              </w:rPr>
              <m:t>i→e→j</m:t>
            </m:r>
          </m:e>
        </m:d>
        <m:r>
          <w:rPr>
            <w:rFonts w:ascii="Cambria Math" w:hAnsi="Cambria Math"/>
          </w:rPr>
          <m:t>=</m:t>
        </m:r>
        <m:sSub>
          <m:sSubPr>
            <m:ctrlPr>
              <w:rPr>
                <w:rFonts w:ascii="Cambria Math" w:hAnsi="Cambria Math"/>
              </w:rPr>
            </m:ctrlPr>
          </m:sSubPr>
          <m:e>
            <m:r>
              <w:rPr>
                <w:rFonts w:ascii="Cambria Math" w:hAnsi="Cambria Math"/>
              </w:rPr>
              <m:t>C</m:t>
            </m:r>
          </m:e>
          <m:sub>
            <m:r>
              <m:rPr>
                <m:nor/>
              </m:rPr>
              <m:t>ChIP</m:t>
            </m:r>
          </m:sub>
        </m:sSub>
        <m:d>
          <m:dPr>
            <m:ctrlPr>
              <w:rPr>
                <w:rFonts w:ascii="Cambria Math" w:hAnsi="Cambria Math"/>
              </w:rPr>
            </m:ctrlPr>
          </m:dPr>
          <m:e>
            <m:r>
              <w:rPr>
                <w:rFonts w:ascii="Cambria Math" w:hAnsi="Cambria Math"/>
              </w:rPr>
              <m:t>i,e</m:t>
            </m:r>
          </m:e>
        </m:d>
        <m:r>
          <w:rPr>
            <w:rFonts w:ascii="Cambria Math" w:hAnsi="Cambria Math"/>
          </w:rPr>
          <m:t>×</m:t>
        </m:r>
        <m:d>
          <m:dPr>
            <m:begChr m:val="|"/>
            <m:endChr m:val="|"/>
            <m:ctrlPr>
              <w:rPr>
                <w:rFonts w:ascii="Cambria Math" w:hAnsi="Cambria Math"/>
              </w:rPr>
            </m:ctrlPr>
          </m:dPr>
          <m:e>
            <m:sSub>
              <m:sSubPr>
                <m:ctrlPr>
                  <w:rPr>
                    <w:rFonts w:ascii="Cambria Math" w:hAnsi="Cambria Math"/>
                  </w:rPr>
                </m:ctrlPr>
              </m:sSubPr>
              <m:e>
                <m:r>
                  <m:rPr>
                    <m:sty m:val="p"/>
                  </m:rPr>
                  <w:rPr>
                    <w:rFonts w:ascii="Cambria Math" w:hAnsi="Cambria Math"/>
                  </w:rPr>
                  <m:t>log</m:t>
                </m:r>
              </m:e>
              <m:sub>
                <m:r>
                  <w:rPr>
                    <w:rFonts w:ascii="Cambria Math" w:hAnsi="Cambria Math"/>
                  </w:rPr>
                  <m:t>2</m:t>
                </m:r>
              </m:sub>
            </m:sSub>
            <m:r>
              <m:rPr>
                <m:nor/>
              </m:rPr>
              <m:t>FC</m:t>
            </m:r>
            <m:r>
              <w:rPr>
                <w:rFonts w:ascii="Cambria Math" w:hAnsi="Cambria Math"/>
              </w:rPr>
              <m:t>(e,j)</m:t>
            </m:r>
          </m:e>
        </m:d>
        <m:r>
          <w:rPr>
            <w:rFonts w:ascii="Cambria Math" w:hAnsi="Cambria Math"/>
          </w:rPr>
          <m:t>×</m:t>
        </m:r>
        <m:d>
          <m:dPr>
            <m:begChr m:val="|"/>
            <m:endChr m:val="|"/>
            <m:ctrlPr>
              <w:rPr>
                <w:rFonts w:ascii="Cambria Math" w:hAnsi="Cambria Math"/>
              </w:rPr>
            </m:ctrlPr>
          </m:dPr>
          <m:e>
            <m:r>
              <w:rPr>
                <w:rFonts w:ascii="Cambria Math" w:hAnsi="Cambria Math"/>
              </w:rPr>
              <m:t>t(e,j)</m:t>
            </m:r>
          </m:e>
        </m:d>
      </m:oMath>
      <w:r w:rsidR="004B7759">
        <w:rPr>
          <w:sz w:val="22"/>
        </w:rPr>
        <w:t xml:space="preserve">   (1)</w:t>
      </w:r>
    </w:p>
    <w:p w:rsidR="000E6725" w:rsidRDefault="004B7759">
      <w:r>
        <w:rPr>
          <w:color w:val="333333"/>
          <w:sz w:val="22"/>
        </w:rPr>
        <w:t xml:space="preserve">where </w:t>
      </w:r>
      <w:r>
        <w:rPr>
          <w:i/>
          <w:color w:val="333333"/>
          <w:sz w:val="22"/>
        </w:rPr>
        <w:t>C</w:t>
      </w:r>
      <w:r>
        <w:rPr>
          <w:color w:val="333333"/>
          <w:sz w:val="22"/>
          <w:vertAlign w:val="subscript"/>
        </w:rPr>
        <w:t>ChIP</w:t>
      </w:r>
      <w:r>
        <w:rPr>
          <w:color w:val="333333"/>
          <w:sz w:val="22"/>
        </w:rPr>
        <w:t>(i, e) ∈ [0, 1] represents the min-max normalized ENCODE physical ChIP-seq binding confidence score (</w:t>
      </w:r>
      <w:r>
        <w:rPr>
          <w:i/>
          <w:color w:val="333333"/>
          <w:sz w:val="22"/>
        </w:rPr>
        <w:t>C</w:t>
      </w:r>
      <w:r>
        <w:rPr>
          <w:color w:val="333333"/>
          <w:sz w:val="22"/>
          <w:vertAlign w:val="subscript"/>
        </w:rPr>
        <w:t>raw</w:t>
      </w:r>
      <w:r>
        <w:rPr>
          <w:color w:val="333333"/>
          <w:sz w:val="22"/>
        </w:rPr>
        <w:t xml:space="preserve"> / 1000), |log</w:t>
      </w:r>
      <w:r>
        <w:rPr>
          <w:color w:val="333333"/>
          <w:sz w:val="22"/>
          <w:vertAlign w:val="subscript"/>
        </w:rPr>
        <w:t>2</w:t>
      </w:r>
      <w:r>
        <w:rPr>
          <w:color w:val="333333"/>
          <w:sz w:val="22"/>
        </w:rPr>
        <w:t xml:space="preserve"> FC(e, j)| represents the magnitude of transcriptional change, and |</w:t>
      </w:r>
      <w:r>
        <w:rPr>
          <w:i/>
          <w:color w:val="333333"/>
          <w:sz w:val="22"/>
        </w:rPr>
        <w:t>t</w:t>
      </w:r>
      <w:r>
        <w:rPr>
          <w:color w:val="333333"/>
          <w:sz w:val="22"/>
        </w:rPr>
        <w:t xml:space="preserve">(e, j)| captures statistical confidence under randomized single-guide intervention. Methodologically, because </w:t>
      </w:r>
      <w:r>
        <w:rPr>
          <w:i/>
          <w:color w:val="333333"/>
          <w:sz w:val="22"/>
        </w:rPr>
        <w:t>t</w:t>
      </w:r>
      <w:r>
        <w:rPr>
          <w:color w:val="333333"/>
          <w:sz w:val="22"/>
        </w:rPr>
        <w:t xml:space="preserve"> ≈ log</w:t>
      </w:r>
      <w:r>
        <w:rPr>
          <w:color w:val="333333"/>
          <w:sz w:val="22"/>
          <w:vertAlign w:val="subscript"/>
        </w:rPr>
        <w:t>2</w:t>
      </w:r>
      <w:r>
        <w:rPr>
          <w:color w:val="333333"/>
          <w:sz w:val="22"/>
        </w:rPr>
        <w:t xml:space="preserve"> FC / SE, the product |log</w:t>
      </w:r>
      <w:r>
        <w:rPr>
          <w:color w:val="333333"/>
          <w:sz w:val="22"/>
          <w:vertAlign w:val="subscript"/>
        </w:rPr>
        <w:t>2</w:t>
      </w:r>
      <w:r>
        <w:rPr>
          <w:color w:val="333333"/>
          <w:sz w:val="22"/>
        </w:rPr>
        <w:t xml:space="preserve"> FC| × |</w:t>
      </w:r>
      <w:r>
        <w:rPr>
          <w:i/>
          <w:color w:val="333333"/>
          <w:sz w:val="22"/>
        </w:rPr>
        <w:t>t</w:t>
      </w:r>
      <w:r>
        <w:rPr>
          <w:color w:val="333333"/>
          <w:sz w:val="22"/>
        </w:rPr>
        <w:t>| effectively scales as (log</w:t>
      </w:r>
      <w:r>
        <w:rPr>
          <w:color w:val="333333"/>
          <w:sz w:val="22"/>
          <w:vertAlign w:val="subscript"/>
        </w:rPr>
        <w:t>2</w:t>
      </w:r>
      <w:r>
        <w:rPr>
          <w:color w:val="333333"/>
          <w:sz w:val="22"/>
        </w:rPr>
        <w:t xml:space="preserve"> FC)² / SE, quadratically rewarding large biological effect sizes while appropriately penalizing high sample variance. Triangulation eliminated ungrounded observational correlations, yielding the reconstructed tripartite causal Gene Regulatory Network encompassing 6,366,350 high-confidence directed regulatory paths (Supplementary Data 3).</w:t>
      </w:r>
    </w:p>
    <w:p w:rsidR="000E6725" w:rsidRDefault="004B7759">
      <w:pPr>
        <w:keepNext/>
        <w:spacing w:before="240" w:after="60"/>
        <w:jc w:val="left"/>
      </w:pPr>
      <w:r>
        <w:t>2.5 Directed Graph Topology, Network Centrality, and Pathway Enrichment</w:t>
      </w:r>
    </w:p>
    <w:p w:rsidR="000E6725" w:rsidRDefault="004B7759">
      <w:r>
        <w:rPr>
          <w:sz w:val="22"/>
        </w:rPr>
        <w:t>The reconstructed tripartite network was modeled as a directed multigraph G = (V, E) using NetworkX (v3.2). To distinguish master regulatory hubs from peripheral nodes, we evaluated directed out-degree and Google PageRank centrality (damping factor α = 0.85). To integrate connectivity with cumulative regulatory impact, a composite Master Regulatory Score (MRS) was defined as: MRS = 0.5 × (OutDegree / max(OutDegree)) + 0.5 × (CumulativeWeight / max(CumulativeWeight)), ranging from 0 to 1. Regulators were ranked by MRS, and downstream targets were evaluated for functional pathway enrichment across MSigDB Hallmark gene sets using hypergeometric over-representation testing with Benjamini–Hochberg FDR adjustment (q &lt; 0.05).</w:t>
      </w:r>
    </w:p>
    <w:p w:rsidR="000E6725" w:rsidRDefault="004B7759">
      <w:pPr>
        <w:spacing w:before="160" w:after="160"/>
        <w:ind w:left="288" w:right="288"/>
        <w:jc w:val="center"/>
      </w:pPr>
      <m:oMathPara>
        <m:oMath>
          <m:r>
            <m:rPr>
              <m:nor/>
            </m:rPr>
            <w:lastRenderedPageBreak/>
            <m:t>PR</m:t>
          </m:r>
          <m:r>
            <w:rPr>
              <w:rFonts w:ascii="Cambria Math" w:hAnsi="Cambria Math"/>
            </w:rPr>
            <m:t>(u)=</m:t>
          </m:r>
          <m:f>
            <m:fPr>
              <m:ctrlPr>
                <w:rPr>
                  <w:rFonts w:ascii="Cambria Math" w:hAnsi="Cambria Math"/>
                </w:rPr>
              </m:ctrlPr>
            </m:fPr>
            <m:num>
              <m:r>
                <w:rPr>
                  <w:rFonts w:ascii="Cambria Math" w:hAnsi="Cambria Math"/>
                </w:rPr>
                <m:t>1-α</m:t>
              </m:r>
            </m:num>
            <m:den>
              <m:r>
                <w:rPr>
                  <w:rFonts w:ascii="Cambria Math" w:hAnsi="Cambria Math"/>
                </w:rPr>
                <m:t>N</m:t>
              </m:r>
            </m:den>
          </m:f>
          <m:r>
            <w:rPr>
              <w:rFonts w:ascii="Cambria Math" w:hAnsi="Cambria Math"/>
            </w:rPr>
            <m:t>+α</m:t>
          </m:r>
          <m:nary>
            <m:naryPr>
              <m:chr m:val="∑"/>
              <m:limLoc m:val="undOvr"/>
              <m:grow m:val="1"/>
              <m:supHide m:val="1"/>
              <m:ctrlPr>
                <w:rPr>
                  <w:rFonts w:ascii="Cambria Math" w:hAnsi="Cambria Math"/>
                </w:rPr>
              </m:ctrlPr>
            </m:naryPr>
            <m:sub>
              <m:r>
                <w:rPr>
                  <w:rFonts w:ascii="Cambria Math" w:hAnsi="Cambria Math"/>
                </w:rPr>
                <m:t>v∈M(u)</m:t>
              </m:r>
            </m:sub>
            <m:sup/>
            <m:e>
              <m:f>
                <m:fPr>
                  <m:ctrlPr>
                    <w:rPr>
                      <w:rFonts w:ascii="Cambria Math" w:hAnsi="Cambria Math"/>
                    </w:rPr>
                  </m:ctrlPr>
                </m:fPr>
                <m:num>
                  <m:r>
                    <m:rPr>
                      <m:sty m:val="p"/>
                    </m:rPr>
                    <w:rPr>
                      <w:rFonts w:ascii="Cambria Math" w:hAnsi="Cambria Math"/>
                    </w:rPr>
                    <m:t>PR</m:t>
                  </m:r>
                  <m:r>
                    <w:rPr>
                      <w:rFonts w:ascii="Cambria Math" w:hAnsi="Cambria Math"/>
                    </w:rPr>
                    <m:t>(v)</m:t>
                  </m:r>
                </m:num>
                <m:den>
                  <m:r>
                    <w:rPr>
                      <w:rFonts w:ascii="Cambria Math" w:hAnsi="Cambria Math"/>
                    </w:rPr>
                    <m:t>L(v)</m:t>
                  </m:r>
                </m:den>
              </m:f>
              <m:r>
                <m:rPr>
                  <m:sty m:val="p"/>
                </m:rPr>
                <w:rPr>
                  <w:rFonts w:ascii="Cambria Math" w:hAnsi="Cambria Math"/>
                  <w:sz w:val="22"/>
                </w:rPr>
                <m:t xml:space="preserve">            </m:t>
              </m:r>
            </m:e>
          </m:nary>
        </m:oMath>
      </m:oMathPara>
    </w:p>
    <w:p w:rsidR="000E6725" w:rsidRDefault="004B7759">
      <w:proofErr w:type="gramStart"/>
      <w:r>
        <w:t>where</w:t>
      </w:r>
      <w:proofErr w:type="gramEnd"/>
      <w:r>
        <w:t xml:space="preserve"> N is the total number of nodes, M(u) denotes the set of upstream nodes linking to u, and L(v) represents the out-degree of node v. To synthesize topological prominence, edge weight strength, and downstream diversity, a composite Master Regulatory Score (MRS) </w:t>
      </w:r>
      <w:proofErr w:type="gramStart"/>
      <w:r>
        <w:t>was computed</w:t>
      </w:r>
      <w:proofErr w:type="gramEnd"/>
      <w:r>
        <w:t xml:space="preserve"> by min-max scaling cumulative causal weight, PageRank, and target count. Downstream regulons governed by prioritized master transcription factors </w:t>
      </w:r>
      <w:proofErr w:type="gramStart"/>
      <w:r>
        <w:t>were queried</w:t>
      </w:r>
      <w:proofErr w:type="gramEnd"/>
      <w:r>
        <w:t xml:space="preserve"> against the Molecular Signatures Database (</w:t>
      </w:r>
      <w:proofErr w:type="spellStart"/>
      <w:r>
        <w:t>MSigDB</w:t>
      </w:r>
      <w:proofErr w:type="spellEnd"/>
      <w:r>
        <w:t xml:space="preserve"> v2023.2) Hallmark collection (</w:t>
      </w:r>
      <w:proofErr w:type="spellStart"/>
      <w:r>
        <w:t>Liberzon</w:t>
      </w:r>
      <w:proofErr w:type="spellEnd"/>
      <w:r>
        <w:t xml:space="preserve"> et al., 2015; Subramanian et al., 2005) using hypergeometric Gene Set Enrichment Analysis (GSEA) via </w:t>
      </w:r>
      <w:proofErr w:type="spellStart"/>
      <w:r>
        <w:t>gseapy</w:t>
      </w:r>
      <w:proofErr w:type="spellEnd"/>
      <w:r>
        <w:t>.</w:t>
      </w:r>
    </w:p>
    <w:p w:rsidR="000E6725" w:rsidRDefault="004B7759">
      <w:pPr>
        <w:keepNext/>
        <w:spacing w:before="240" w:after="60"/>
        <w:jc w:val="left"/>
      </w:pPr>
      <w:r>
        <w:t>2.6 Explainable AI (SHAP) and Non-Linear Regulatory Attribution</w:t>
      </w:r>
    </w:p>
    <w:p w:rsidR="000E6725" w:rsidRDefault="004B7759">
      <w:r>
        <w:t xml:space="preserve">Because </w:t>
      </w:r>
      <w:proofErr w:type="gramStart"/>
      <w:r>
        <w:t>eukaryotic gene expression is frequently governed by non-linear, cooperative transcription factor assemblies rather than simple additive relationships</w:t>
      </w:r>
      <w:proofErr w:type="gramEnd"/>
      <w:r>
        <w:t>, we integrated Explainable Artificial Intelligence (XAI) into our causal framework. For each downstream target gene, a feature vector was constructed from the causal weights of the prioritized master transcription factors, predicting the target gene's mean absolute responsiveness y. Gradient Boosted Decision Trees (</w:t>
      </w:r>
      <w:proofErr w:type="spellStart"/>
      <w:r>
        <w:t>XGBoost</w:t>
      </w:r>
      <w:proofErr w:type="spellEnd"/>
      <w:r>
        <w:t xml:space="preserve"> </w:t>
      </w:r>
      <w:proofErr w:type="spellStart"/>
      <w:r>
        <w:t>Regressor</w:t>
      </w:r>
      <w:proofErr w:type="spellEnd"/>
      <w:r>
        <w:t xml:space="preserve">; 100 estimators, maximum tree depth = 4, learning rate = 0.05) were trained using 5-fold cross-validation (Chen &amp; </w:t>
      </w:r>
      <w:proofErr w:type="spellStart"/>
      <w:r>
        <w:t>Guestrin</w:t>
      </w:r>
      <w:proofErr w:type="spellEnd"/>
      <w:r>
        <w:t xml:space="preserve">, 2016). The regularized objective function </w:t>
      </w:r>
      <w:proofErr w:type="gramStart"/>
      <w:r>
        <w:t>was minimized</w:t>
      </w:r>
      <w:proofErr w:type="gramEnd"/>
      <w:r>
        <w:t xml:space="preserve"> as:</w:t>
      </w:r>
    </w:p>
    <w:p w:rsidR="00022F84" w:rsidRDefault="00FA1697">
      <w:pPr>
        <w:jc w:val="center"/>
      </w:pPr>
      <m:oMathPara>
        <m:oMath>
          <m:sSup>
            <m:sSupPr>
              <m:ctrlPr>
                <w:rPr>
                  <w:rFonts w:ascii="Cambria Math" w:hAnsi="Cambria Math"/>
                </w:rPr>
              </m:ctrlPr>
            </m:sSupPr>
            <m:e>
              <m:r>
                <m:rPr>
                  <m:scr m:val="script"/>
                </m:rPr>
                <w:rPr>
                  <w:rFonts w:ascii="Cambria Math" w:hAnsi="Cambria Math"/>
                </w:rPr>
                <m:t>L</m:t>
              </m:r>
            </m:e>
            <m:sup>
              <m:r>
                <w:rPr>
                  <w:rFonts w:ascii="Cambria Math" w:hAnsi="Cambria Math"/>
                </w:rPr>
                <m:t>(</m:t>
              </m:r>
              <m:r>
                <w:rPr>
                  <w:rFonts w:ascii="Cambria Math" w:hAnsi="Cambria Math"/>
                </w:rPr>
                <m:t>t</m:t>
              </m:r>
              <m:r>
                <w:rPr>
                  <w:rFonts w:ascii="Cambria Math" w:hAnsi="Cambria Math"/>
                </w:rPr>
                <m:t>)</m:t>
              </m:r>
            </m:sup>
          </m:sSup>
          <m:r>
            <w:rPr>
              <w:rFonts w:ascii="Cambria Math" w:hAnsi="Cambria Math"/>
            </w:rPr>
            <m:t>≈</m:t>
          </m:r>
          <m:nary>
            <m:naryPr>
              <m:chr m:val="∑"/>
              <m:limLoc m:val="undOvr"/>
              <m:grow m:val="1"/>
              <m:ctrlPr>
                <w:rPr>
                  <w:rFonts w:ascii="Cambria Math" w:hAnsi="Cambria Math"/>
                </w:rPr>
              </m:ctrlPr>
            </m:naryPr>
            <m:sub>
              <m:r>
                <w:rPr>
                  <w:rFonts w:ascii="Cambria Math" w:hAnsi="Cambria Math"/>
                </w:rPr>
                <m:t>j</m:t>
              </m:r>
              <m:r>
                <w:rPr>
                  <w:rFonts w:ascii="Cambria Math" w:hAnsi="Cambria Math"/>
                </w:rPr>
                <m:t>=1</m:t>
              </m:r>
            </m:sub>
            <m:sup>
              <m:r>
                <w:rPr>
                  <w:rFonts w:ascii="Cambria Math" w:hAnsi="Cambria Math"/>
                </w:rPr>
                <m:t>M</m:t>
              </m:r>
            </m:sup>
            <m:e/>
          </m:nary>
          <m:d>
            <m:dPr>
              <m:begChr m:val="["/>
              <m:endChr m:val="]"/>
              <m:ctrlPr>
                <w:rPr>
                  <w:rFonts w:ascii="Cambria Math" w:hAnsi="Cambria Math"/>
                </w:rPr>
              </m:ctrlPr>
            </m:dPr>
            <m:e>
              <m:sSub>
                <m:sSubPr>
                  <m:ctrlPr>
                    <w:rPr>
                      <w:rFonts w:ascii="Cambria Math" w:hAnsi="Cambria Math"/>
                    </w:rPr>
                  </m:ctrlPr>
                </m:sSubPr>
                <m:e>
                  <m:r>
                    <w:rPr>
                      <w:rFonts w:ascii="Cambria Math" w:hAnsi="Cambria Math"/>
                    </w:rPr>
                    <m:t>g</m:t>
                  </m:r>
                </m:e>
                <m:sub>
                  <m:r>
                    <w:rPr>
                      <w:rFonts w:ascii="Cambria Math" w:hAnsi="Cambria Math"/>
                    </w:rPr>
                    <m:t>j</m:t>
                  </m:r>
                </m:sub>
              </m:sSub>
              <m:sSub>
                <m:sSubPr>
                  <m:ctrlPr>
                    <w:rPr>
                      <w:rFonts w:ascii="Cambria Math" w:hAnsi="Cambria Math"/>
                    </w:rPr>
                  </m:ctrlPr>
                </m:sSubPr>
                <m:e>
                  <m:r>
                    <w:rPr>
                      <w:rFonts w:ascii="Cambria Math" w:hAnsi="Cambria Math"/>
                    </w:rPr>
                    <m:t>f</m:t>
                  </m:r>
                </m:e>
                <m:sub>
                  <m:r>
                    <w:rPr>
                      <w:rFonts w:ascii="Cambria Math" w:hAnsi="Cambria Math"/>
                    </w:rPr>
                    <m:t>t</m:t>
                  </m:r>
                </m:sub>
              </m:sSub>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j</m:t>
                  </m:r>
                </m:sub>
              </m:sSub>
              <m:r>
                <w:rPr>
                  <w:rFonts w:ascii="Cambria Math" w:hAnsi="Cambria Math"/>
                </w:rPr>
                <m:t>)+</m:t>
              </m:r>
              <m:f>
                <m:fPr>
                  <m:ctrlPr>
                    <w:rPr>
                      <w:rFonts w:ascii="Cambria Math" w:hAnsi="Cambria Math"/>
                    </w:rPr>
                  </m:ctrlPr>
                </m:fPr>
                <m:num>
                  <m:r>
                    <w:rPr>
                      <w:rFonts w:ascii="Cambria Math" w:hAnsi="Cambria Math"/>
                    </w:rPr>
                    <m:t>1</m:t>
                  </m:r>
                </m:num>
                <m:den>
                  <m:r>
                    <w:rPr>
                      <w:rFonts w:ascii="Cambria Math" w:hAnsi="Cambria Math"/>
                    </w:rPr>
                    <m:t>2</m:t>
                  </m:r>
                </m:den>
              </m:f>
              <m:sSub>
                <m:sSubPr>
                  <m:ctrlPr>
                    <w:rPr>
                      <w:rFonts w:ascii="Cambria Math" w:hAnsi="Cambria Math"/>
                    </w:rPr>
                  </m:ctrlPr>
                </m:sSubPr>
                <m:e>
                  <m:r>
                    <w:rPr>
                      <w:rFonts w:ascii="Cambria Math" w:hAnsi="Cambria Math"/>
                    </w:rPr>
                    <m:t>h</m:t>
                  </m:r>
                </m:e>
                <m:sub>
                  <m:r>
                    <w:rPr>
                      <w:rFonts w:ascii="Cambria Math" w:hAnsi="Cambria Math"/>
                    </w:rPr>
                    <m:t>j</m:t>
                  </m:r>
                </m:sub>
              </m:sSub>
              <m:sSubSup>
                <m:sSubSupPr>
                  <m:ctrlPr>
                    <w:rPr>
                      <w:rFonts w:ascii="Cambria Math" w:hAnsi="Cambria Math"/>
                    </w:rPr>
                  </m:ctrlPr>
                </m:sSubSupPr>
                <m:e>
                  <m:r>
                    <w:rPr>
                      <w:rFonts w:ascii="Cambria Math" w:hAnsi="Cambria Math"/>
                    </w:rPr>
                    <m:t>f</m:t>
                  </m:r>
                </m:e>
                <m:sub>
                  <m:r>
                    <w:rPr>
                      <w:rFonts w:ascii="Cambria Math" w:hAnsi="Cambria Math"/>
                    </w:rPr>
                    <m:t>t</m:t>
                  </m:r>
                </m:sub>
                <m:sup>
                  <m:r>
                    <w:rPr>
                      <w:rFonts w:ascii="Cambria Math" w:hAnsi="Cambria Math"/>
                    </w:rPr>
                    <m:t>2</m:t>
                  </m:r>
                </m:sup>
              </m:sSubSup>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j</m:t>
                  </m:r>
                </m:sub>
              </m:sSub>
              <m:r>
                <w:rPr>
                  <w:rFonts w:ascii="Cambria Math" w:hAnsi="Cambria Math"/>
                </w:rPr>
                <m:t>)</m:t>
              </m:r>
            </m:e>
          </m:d>
          <m:r>
            <w:rPr>
              <w:rFonts w:ascii="Cambria Math" w:hAnsi="Cambria Math"/>
            </w:rPr>
            <m:t>+</m:t>
          </m:r>
          <m:r>
            <w:rPr>
              <w:rFonts w:ascii="Cambria Math" w:hAnsi="Cambria Math"/>
            </w:rPr>
            <m:t>Ω</m:t>
          </m:r>
          <m:r>
            <w:rPr>
              <w:rFonts w:ascii="Cambria Math" w:hAnsi="Cambria Math"/>
            </w:rPr>
            <m:t>(</m:t>
          </m:r>
          <m:sSub>
            <m:sSubPr>
              <m:ctrlPr>
                <w:rPr>
                  <w:rFonts w:ascii="Cambria Math" w:hAnsi="Cambria Math"/>
                </w:rPr>
              </m:ctrlPr>
            </m:sSubPr>
            <m:e>
              <m:r>
                <w:rPr>
                  <w:rFonts w:ascii="Cambria Math" w:hAnsi="Cambria Math"/>
                </w:rPr>
                <m:t>f</m:t>
              </m:r>
            </m:e>
            <m:sub>
              <m:r>
                <w:rPr>
                  <w:rFonts w:ascii="Cambria Math" w:hAnsi="Cambria Math"/>
                </w:rPr>
                <m:t>t</m:t>
              </m:r>
            </m:sub>
          </m:sSub>
          <m:r>
            <w:rPr>
              <w:rFonts w:ascii="Cambria Math" w:hAnsi="Cambria Math"/>
            </w:rPr>
            <m:t>)</m:t>
          </m:r>
        </m:oMath>
      </m:oMathPara>
    </w:p>
    <w:p w:rsidR="00022F84" w:rsidRDefault="00FA1697">
      <w:pPr>
        <w:jc w:val="center"/>
      </w:pPr>
      <m:oMathPara>
        <m:oMath>
          <m:sSub>
            <m:sSubPr>
              <m:ctrlPr>
                <w:rPr>
                  <w:rFonts w:ascii="Cambria Math" w:hAnsi="Cambria Math"/>
                </w:rPr>
              </m:ctrlPr>
            </m:sSubPr>
            <m:e>
              <m:r>
                <w:rPr>
                  <w:rFonts w:ascii="Cambria Math" w:hAnsi="Cambria Math"/>
                </w:rPr>
                <m:t>φ</m:t>
              </m:r>
            </m:e>
            <m:sub>
              <m:r>
                <w:rPr>
                  <w:rFonts w:ascii="Cambria Math" w:hAnsi="Cambria Math"/>
                </w:rPr>
                <m:t>i</m:t>
              </m:r>
            </m:sub>
          </m:sSub>
          <m:r>
            <w:rPr>
              <w:rFonts w:ascii="Cambria Math" w:hAnsi="Cambria Math"/>
            </w:rPr>
            <m:t>(</m:t>
          </m:r>
          <m:r>
            <w:rPr>
              <w:rFonts w:ascii="Cambria Math" w:hAnsi="Cambria Math"/>
            </w:rPr>
            <m:t>x</m:t>
          </m:r>
          <m:r>
            <w:rPr>
              <w:rFonts w:ascii="Cambria Math" w:hAnsi="Cambria Math"/>
            </w:rPr>
            <m:t>)=</m:t>
          </m:r>
          <m:nary>
            <m:naryPr>
              <m:chr m:val="∑"/>
              <m:limLoc m:val="undOvr"/>
              <m:grow m:val="1"/>
              <m:supHide m:val="1"/>
              <m:ctrlPr>
                <w:rPr>
                  <w:rFonts w:ascii="Cambria Math" w:hAnsi="Cambria Math"/>
                </w:rPr>
              </m:ctrlPr>
            </m:naryPr>
            <m:sub>
              <m:r>
                <w:rPr>
                  <w:rFonts w:ascii="Cambria Math" w:hAnsi="Cambria Math"/>
                </w:rPr>
                <m:t>S</m:t>
              </m:r>
              <m:r>
                <w:rPr>
                  <w:rFonts w:ascii="Cambria Math" w:hAnsi="Cambria Math"/>
                </w:rPr>
                <m:t>⊆</m:t>
              </m:r>
              <m:r>
                <w:rPr>
                  <w:rFonts w:ascii="Cambria Math" w:hAnsi="Cambria Math"/>
                </w:rPr>
                <m:t>F</m:t>
              </m:r>
              <m:r>
                <w:rPr>
                  <w:rFonts w:ascii="Cambria Math" w:hAnsi="Cambria Math"/>
                </w:rPr>
                <m:t>∖</m:t>
              </m:r>
              <m:r>
                <w:rPr>
                  <w:rFonts w:ascii="Cambria Math" w:hAnsi="Cambria Math"/>
                </w:rPr>
                <m:t>{</m:t>
              </m:r>
              <m:r>
                <w:rPr>
                  <w:rFonts w:ascii="Cambria Math" w:hAnsi="Cambria Math"/>
                </w:rPr>
                <m:t>i</m:t>
              </m:r>
              <m:r>
                <w:rPr>
                  <w:rFonts w:ascii="Cambria Math" w:hAnsi="Cambria Math"/>
                </w:rPr>
                <m:t>}</m:t>
              </m:r>
            </m:sub>
            <m:sup/>
            <m:e/>
          </m:nary>
          <m:f>
            <m:fPr>
              <m:ctrlPr>
                <w:rPr>
                  <w:rFonts w:ascii="Cambria Math" w:hAnsi="Cambria Math"/>
                </w:rPr>
              </m:ctrlPr>
            </m:fPr>
            <m:num>
              <m:r>
                <w:rPr>
                  <w:rFonts w:ascii="Cambria Math" w:hAnsi="Cambria Math"/>
                </w:rPr>
                <m:t>|</m:t>
              </m:r>
              <m:r>
                <w:rPr>
                  <w:rFonts w:ascii="Cambria Math" w:hAnsi="Cambria Math"/>
                </w:rPr>
                <m:t>S</m:t>
              </m:r>
              <m:r>
                <w:rPr>
                  <w:rFonts w:ascii="Cambria Math" w:hAnsi="Cambria Math"/>
                </w:rPr>
                <m:t>|!(|</m:t>
              </m:r>
              <m:r>
                <w:rPr>
                  <w:rFonts w:ascii="Cambria Math" w:hAnsi="Cambria Math"/>
                </w:rPr>
                <m:t>F</m:t>
              </m:r>
              <m:r>
                <w:rPr>
                  <w:rFonts w:ascii="Cambria Math" w:hAnsi="Cambria Math"/>
                </w:rPr>
                <m:t>|-|</m:t>
              </m:r>
              <m:r>
                <w:rPr>
                  <w:rFonts w:ascii="Cambria Math" w:hAnsi="Cambria Math"/>
                </w:rPr>
                <m:t>S</m:t>
              </m:r>
              <m:r>
                <w:rPr>
                  <w:rFonts w:ascii="Cambria Math" w:hAnsi="Cambria Math"/>
                </w:rPr>
                <m:t>|-1)!</m:t>
              </m:r>
            </m:num>
            <m:den>
              <m:r>
                <w:rPr>
                  <w:rFonts w:ascii="Cambria Math" w:hAnsi="Cambria Math"/>
                </w:rPr>
                <m:t>|</m:t>
              </m:r>
              <m:r>
                <w:rPr>
                  <w:rFonts w:ascii="Cambria Math" w:hAnsi="Cambria Math"/>
                </w:rPr>
                <m:t>F</m:t>
              </m:r>
              <m:r>
                <w:rPr>
                  <w:rFonts w:ascii="Cambria Math" w:hAnsi="Cambria Math"/>
                </w:rPr>
                <m:t>|!</m:t>
              </m:r>
            </m:den>
          </m:f>
          <m:d>
            <m:dPr>
              <m:begChr m:val="["/>
              <m:endChr m:val="]"/>
              <m:ctrlPr>
                <w:rPr>
                  <w:rFonts w:ascii="Cambria Math" w:hAnsi="Cambria Math"/>
                </w:rPr>
              </m:ctrlPr>
            </m:dPr>
            <m:e>
              <m:sSub>
                <m:sSubPr>
                  <m:ctrlPr>
                    <w:rPr>
                      <w:rFonts w:ascii="Cambria Math" w:hAnsi="Cambria Math"/>
                    </w:rPr>
                  </m:ctrlPr>
                </m:sSubPr>
                <m:e>
                  <m:r>
                    <w:rPr>
                      <w:rFonts w:ascii="Cambria Math" w:hAnsi="Cambria Math"/>
                    </w:rPr>
                    <m:t>f</m:t>
                  </m:r>
                </m:e>
                <m:sub>
                  <m:r>
                    <w:rPr>
                      <w:rFonts w:ascii="Cambria Math" w:hAnsi="Cambria Math"/>
                    </w:rPr>
                    <m:t>x</m:t>
                  </m:r>
                </m:sub>
              </m:sSub>
              <m:r>
                <w:rPr>
                  <w:rFonts w:ascii="Cambria Math" w:hAnsi="Cambria Math"/>
                </w:rPr>
                <m:t>(</m:t>
              </m:r>
              <m:r>
                <w:rPr>
                  <w:rFonts w:ascii="Cambria Math" w:hAnsi="Cambria Math"/>
                </w:rPr>
                <m:t>S</m:t>
              </m:r>
              <m:r>
                <w:rPr>
                  <w:rFonts w:ascii="Cambria Math" w:hAnsi="Cambria Math"/>
                </w:rPr>
                <m:t>∪{</m:t>
              </m:r>
              <m:r>
                <w:rPr>
                  <w:rFonts w:ascii="Cambria Math" w:hAnsi="Cambria Math"/>
                </w:rPr>
                <m:t>i</m:t>
              </m:r>
              <m:r>
                <w:rPr>
                  <w:rFonts w:ascii="Cambria Math" w:hAnsi="Cambria Math"/>
                </w:rPr>
                <m:t>})-</m:t>
              </m:r>
              <m:sSub>
                <m:sSubPr>
                  <m:ctrlPr>
                    <w:rPr>
                      <w:rFonts w:ascii="Cambria Math" w:hAnsi="Cambria Math"/>
                    </w:rPr>
                  </m:ctrlPr>
                </m:sSubPr>
                <m:e>
                  <m:r>
                    <w:rPr>
                      <w:rFonts w:ascii="Cambria Math" w:hAnsi="Cambria Math"/>
                    </w:rPr>
                    <m:t>f</m:t>
                  </m:r>
                </m:e>
                <m:sub>
                  <m:r>
                    <w:rPr>
                      <w:rFonts w:ascii="Cambria Math" w:hAnsi="Cambria Math"/>
                    </w:rPr>
                    <m:t>x</m:t>
                  </m:r>
                </m:sub>
              </m:sSub>
              <m:r>
                <w:rPr>
                  <w:rFonts w:ascii="Cambria Math" w:hAnsi="Cambria Math"/>
                </w:rPr>
                <m:t>(</m:t>
              </m:r>
              <m:r>
                <w:rPr>
                  <w:rFonts w:ascii="Cambria Math" w:hAnsi="Cambria Math"/>
                </w:rPr>
                <m:t>S</m:t>
              </m:r>
              <m:r>
                <w:rPr>
                  <w:rFonts w:ascii="Cambria Math" w:hAnsi="Cambria Math"/>
                </w:rPr>
                <m:t>)</m:t>
              </m:r>
            </m:e>
          </m:d>
        </m:oMath>
      </m:oMathPara>
    </w:p>
    <w:p w:rsidR="000E6725" w:rsidRDefault="004B7759">
      <w:r>
        <w:t>where gj and hj represent first- and second-order gradient statistics, Ω(ft) is the tree complexity penalization term, and φi(x) represents the exact Shapley attribution value for transcription factor i across feature set F computed via the TreeExplainer algorithm (Supplementary Note 5) (Lundberg &amp; Lee, 2017; Lundberg et al., 2020). SHAP dependency plots were generated to decode non-linear threshold effects and cooperative interactions. The core tripartite network was visualized via PyVis force-directed physics simulation (Supplementary Display 1 / Interactive Network Model).</w:t>
      </w:r>
    </w:p>
    <w:p w:rsidR="000E6725" w:rsidRDefault="004B7759">
      <w:pPr>
        <w:keepNext/>
        <w:spacing w:before="240" w:after="60"/>
        <w:jc w:val="left"/>
      </w:pPr>
      <w:r>
        <w:t>2.7 Quantitative Benchmarking and Clinical Prognostic Validation</w:t>
      </w:r>
    </w:p>
    <w:p w:rsidR="000E6725" w:rsidRDefault="004B7759">
      <w:r>
        <w:rPr>
          <w:color w:val="333333"/>
          <w:sz w:val="22"/>
        </w:rPr>
        <w:t xml:space="preserve">To quantitatively evaluate reconstructive accuracy, our Triangulated Causal ML framework was benchmarked against three established GRN inference methodologies: (i) GENIE3 (tree-based ensemble regression from expression alone) (Huynh-Thu et al., 2010); (ii) Co-expression (Spearman correlation alone); and (iii) ChIP-seq Prior Alone (physical binding without interventional perturbation). Evaluation was conducted against held-out experimental CRISPRi ground-truth functional responses (|log2 FC| ≥ 0.50, </w:t>
      </w:r>
      <w:r>
        <w:rPr>
          <w:color w:val="333333"/>
          <w:sz w:val="22"/>
        </w:rPr>
        <w:lastRenderedPageBreak/>
        <w:t>|t| ≥ 3.0) contrasted with non-functional negative control edges. Precision-Recall curves, Area Under the Precision-Recall Curve (AUPRC), Receiver Operating Characteristic (ROC) curves, AUROC, F1-scores, and False Discovery Rates (FDR = 1 - Precision) were calculated via scikit-learn. For clinical prognostic validation, multivariate Cox proportional hazards modeling was evaluated specifically within the clinically annotated Triple-Negative / Basal-like breast cancer patient subsets of TCGA-BRCA (n = 160) and METABRIC (n = 320), adjusting for patient age, tumor stage, and nodal status.</w:t>
      </w:r>
    </w:p>
    <w:p w:rsidR="000E6725" w:rsidRDefault="004B7759">
      <w:r>
        <w:rPr>
          <w:sz w:val="22"/>
        </w:rPr>
        <w:t xml:space="preserve">In </w:t>
      </w:r>
      <w:r>
        <w:rPr>
          <w:i/>
          <w:sz w:val="22"/>
        </w:rPr>
        <w:t>silico</w:t>
      </w:r>
      <w:r>
        <w:rPr>
          <w:sz w:val="22"/>
        </w:rPr>
        <w:t xml:space="preserve"> knockout simulations were performed by numerically setting driver causal weights to zero and predicting target gene expression changes, validated against observed experimental guide log2 fold changes via Pearson correlation and coefficient of determination (R</w:t>
      </w:r>
      <w:r>
        <w:rPr>
          <w:sz w:val="22"/>
          <w:vertAlign w:val="superscript"/>
        </w:rPr>
        <w:t>2</w:t>
      </w:r>
      <w:r>
        <w:rPr>
          <w:sz w:val="22"/>
        </w:rPr>
        <w:t>). Clinical prognostic relevance within the Triple-Negative / Basal-like breast cancer patient cohorts (TCGA-BRCA, n = 160; METABRIC, n = 320) was evaluated using the multivariate Cox proportional hazards formulation (Cancer Genome Atlas Network, 2012; Curtis et al., 2012; Rakha et al., 2007):</w:t>
      </w:r>
    </w:p>
    <w:p w:rsidR="000E6725" w:rsidRDefault="004B7759">
      <w:pPr>
        <w:spacing w:before="160" w:after="160"/>
        <w:ind w:left="288" w:right="288"/>
        <w:jc w:val="center"/>
      </w:pPr>
      <m:oMathPara>
        <m:oMath>
          <m:r>
            <w:rPr>
              <w:rFonts w:ascii="Cambria Math" w:hAnsi="Cambria Math"/>
            </w:rPr>
            <m:t>h(t∣</m:t>
          </m:r>
          <m:r>
            <m:rPr>
              <m:sty m:val="b"/>
            </m:rPr>
            <w:rPr>
              <w:rFonts w:ascii="Cambria Math" w:hAnsi="Cambria Math"/>
            </w:rPr>
            <m:t>Z</m:t>
          </m:r>
          <m:r>
            <w:rPr>
              <w:rFonts w:ascii="Cambria Math" w:hAnsi="Cambria Math"/>
            </w:rPr>
            <m:t>)=</m:t>
          </m:r>
          <m:sSub>
            <m:sSubPr>
              <m:ctrlPr>
                <w:rPr>
                  <w:rFonts w:ascii="Cambria Math" w:hAnsi="Cambria Math"/>
                </w:rPr>
              </m:ctrlPr>
            </m:sSubPr>
            <m:e>
              <m:r>
                <w:rPr>
                  <w:rFonts w:ascii="Cambria Math" w:hAnsi="Cambria Math"/>
                </w:rPr>
                <m:t>h</m:t>
              </m:r>
            </m:e>
            <m:sub>
              <m:r>
                <w:rPr>
                  <w:rFonts w:ascii="Cambria Math" w:hAnsi="Cambria Math"/>
                </w:rPr>
                <m:t>0</m:t>
              </m:r>
            </m:sub>
          </m:sSub>
          <m:r>
            <w:rPr>
              <w:rFonts w:ascii="Cambria Math" w:hAnsi="Cambria Math"/>
            </w:rPr>
            <m:t>(t)</m:t>
          </m:r>
          <m:r>
            <m:rPr>
              <m:sty m:val="p"/>
            </m:rPr>
            <w:rPr>
              <w:rFonts w:ascii="Cambria Math" w:hAnsi="Cambria Math"/>
            </w:rPr>
            <m:t>exp</m:t>
          </m:r>
          <m:d>
            <m:dPr>
              <m:ctrlPr>
                <w:rPr>
                  <w:rFonts w:ascii="Cambria Math" w:hAnsi="Cambria Math"/>
                </w:rPr>
              </m:ctrlPr>
            </m:dPr>
            <m:e>
              <m:nary>
                <m:naryPr>
                  <m:chr m:val="∑"/>
                  <m:limLoc m:val="undOvr"/>
                  <m:grow m:val="1"/>
                  <m:ctrlPr>
                    <w:rPr>
                      <w:rFonts w:ascii="Cambria Math" w:hAnsi="Cambria Math"/>
                    </w:rPr>
                  </m:ctrlPr>
                </m:naryPr>
                <m:sub>
                  <m:r>
                    <w:rPr>
                      <w:rFonts w:ascii="Cambria Math" w:hAnsi="Cambria Math"/>
                    </w:rPr>
                    <m:t>k=1</m:t>
                  </m:r>
                </m:sub>
                <m:sup>
                  <m:r>
                    <w:rPr>
                      <w:rFonts w:ascii="Cambria Math" w:hAnsi="Cambria Math"/>
                    </w:rPr>
                    <m:t>P</m:t>
                  </m:r>
                </m:sup>
                <m:e>
                  <m:sSub>
                    <m:sSubPr>
                      <m:ctrlPr>
                        <w:rPr>
                          <w:rFonts w:ascii="Cambria Math" w:hAnsi="Cambria Math"/>
                        </w:rPr>
                      </m:ctrlPr>
                    </m:sSubPr>
                    <m:e>
                      <m:r>
                        <w:rPr>
                          <w:rFonts w:ascii="Cambria Math" w:hAnsi="Cambria Math"/>
                        </w:rPr>
                        <m:t>β</m:t>
                      </m:r>
                    </m:e>
                    <m:sub>
                      <m:r>
                        <w:rPr>
                          <w:rFonts w:ascii="Cambria Math" w:hAnsi="Cambria Math"/>
                        </w:rPr>
                        <m:t>k</m:t>
                      </m:r>
                    </m:sub>
                  </m:sSub>
                  <m:sSub>
                    <m:sSubPr>
                      <m:ctrlPr>
                        <w:rPr>
                          <w:rFonts w:ascii="Cambria Math" w:hAnsi="Cambria Math"/>
                        </w:rPr>
                      </m:ctrlPr>
                    </m:sSubPr>
                    <m:e>
                      <m:r>
                        <w:rPr>
                          <w:rFonts w:ascii="Cambria Math" w:hAnsi="Cambria Math"/>
                        </w:rPr>
                        <m:t>Z</m:t>
                      </m:r>
                    </m:e>
                    <m:sub>
                      <m:r>
                        <w:rPr>
                          <w:rFonts w:ascii="Cambria Math" w:hAnsi="Cambria Math"/>
                        </w:rPr>
                        <m:t>k</m:t>
                      </m:r>
                    </m:sub>
                  </m:sSub>
                </m:e>
              </m:nary>
            </m:e>
          </m:d>
        </m:oMath>
      </m:oMathPara>
    </w:p>
    <w:p w:rsidR="000E6725" w:rsidRDefault="004B7759">
      <w:proofErr w:type="gramStart"/>
      <w:r>
        <w:t>where</w:t>
      </w:r>
      <w:proofErr w:type="gramEnd"/>
      <w:r>
        <w:t xml:space="preserve"> </w:t>
      </w:r>
      <w:r>
        <w:rPr>
          <w:i/>
        </w:rPr>
        <w:t>h</w:t>
      </w:r>
      <w:r>
        <w:rPr>
          <w:vertAlign w:val="subscript"/>
        </w:rPr>
        <w:t>0</w:t>
      </w:r>
      <w:r>
        <w:t xml:space="preserve">(t) is the baseline hazard, </w:t>
      </w:r>
      <w:proofErr w:type="spellStart"/>
      <w:r>
        <w:rPr>
          <w:i/>
        </w:rPr>
        <w:t>Z</w:t>
      </w:r>
      <w:r>
        <w:rPr>
          <w:i/>
          <w:vertAlign w:val="subscript"/>
        </w:rPr>
        <w:t>k</w:t>
      </w:r>
      <w:proofErr w:type="spellEnd"/>
      <w:r>
        <w:t xml:space="preserve"> represents patient covariates (master regulon expression, tumor stage, patient age, nodal status), and β</w:t>
      </w:r>
      <w:r>
        <w:rPr>
          <w:i/>
          <w:vertAlign w:val="subscript"/>
        </w:rPr>
        <w:t>k</w:t>
      </w:r>
      <w:r>
        <w:t xml:space="preserve"> represents the regression coefficients. Hazard Ratios (HR = </w:t>
      </w:r>
      <w:proofErr w:type="spellStart"/>
      <w:proofErr w:type="gramStart"/>
      <w:r>
        <w:t>exp</w:t>
      </w:r>
      <w:proofErr w:type="spellEnd"/>
      <w:r>
        <w:t>(</w:t>
      </w:r>
      <w:proofErr w:type="gramEnd"/>
      <w:r>
        <w:t>β</w:t>
      </w:r>
      <w:r>
        <w:rPr>
          <w:i/>
          <w:vertAlign w:val="subscript"/>
        </w:rPr>
        <w:t>k</w:t>
      </w:r>
      <w:r>
        <w:t>)) and 95% confidence intervals were visualized using forest plots.</w:t>
      </w:r>
    </w:p>
    <w:p w:rsidR="000E6725" w:rsidRDefault="004B7759">
      <w:pPr>
        <w:keepNext/>
        <w:spacing w:before="240" w:after="60"/>
        <w:jc w:val="left"/>
      </w:pPr>
      <w:proofErr w:type="gramStart"/>
      <w:r>
        <w:rPr>
          <w:b/>
          <w:sz w:val="25"/>
        </w:rPr>
        <w:t>2.8</w:t>
      </w:r>
      <w:proofErr w:type="gramEnd"/>
      <w:r>
        <w:rPr>
          <w:b/>
          <w:sz w:val="25"/>
        </w:rPr>
        <w:t xml:space="preserve"> In </w:t>
      </w:r>
      <w:proofErr w:type="spellStart"/>
      <w:r>
        <w:rPr>
          <w:b/>
          <w:sz w:val="25"/>
        </w:rPr>
        <w:t>Silico</w:t>
      </w:r>
      <w:proofErr w:type="spellEnd"/>
      <w:r>
        <w:rPr>
          <w:b/>
          <w:sz w:val="25"/>
        </w:rPr>
        <w:t xml:space="preserve"> Therapeutic Target Vulnerability Mapping and Combinatorial Intervention Modeling</w:t>
      </w:r>
    </w:p>
    <w:p w:rsidR="000E6725" w:rsidRDefault="004B7759">
      <w:r>
        <w:rPr>
          <w:sz w:val="22"/>
        </w:rPr>
        <w:t>Prioritized master regulators were cross-referenced against the Drug-Gene Interaction Database (DGIdb v4.0), ChEMBL (v33), and ClinicalTrials.gov to identify clinically actionable chemical inhibitors. To assess combination strategies in silico, we simulated target inactivation by removing the regulatory edges originating from targeted nodes in the tripartite graph. The in silico network disruption score was defined as the percentage of downstream oncogenic target edges silenced upon target node removal. This model provides an in silico prioritization framework to nominate candidate combinations for future experimental pharmacological evaluation.</w:t>
      </w:r>
    </w:p>
    <w:p w:rsidR="000E6725" w:rsidRDefault="004B7759">
      <w:pPr>
        <w:keepNext/>
        <w:spacing w:before="320" w:after="80"/>
        <w:jc w:val="left"/>
      </w:pPr>
      <w:r>
        <w:rPr>
          <w:b/>
          <w:sz w:val="28"/>
        </w:rPr>
        <w:t>3. Results</w:t>
      </w:r>
    </w:p>
    <w:p w:rsidR="000E6725" w:rsidRDefault="004B7759">
      <w:pPr>
        <w:keepNext/>
        <w:spacing w:before="240" w:after="60"/>
        <w:jc w:val="left"/>
      </w:pPr>
      <w:r>
        <w:rPr>
          <w:b/>
          <w:sz w:val="25"/>
        </w:rPr>
        <w:t>3.1 Single-Cell Transcriptional Landscape and Perturbation Guide Assignment in TNBC</w:t>
      </w:r>
    </w:p>
    <w:p w:rsidR="000E6725" w:rsidRDefault="004B7759">
      <w:r>
        <w:rPr>
          <w:sz w:val="22"/>
        </w:rPr>
        <w:t xml:space="preserve">Following quality control filtering of 95,678 MDA-MB-231 cells, single-cell libraries exhibited high technical quality, with a median sequencing depth of 6,519 Unique Molecular Identifiers (UMIs) per cell (Figure 1a) and a median of 2,138 detected genes per cell (Figure 1b). Unsupervised Leiden graph clustering partitioned the cellular population into 12 distinct transcriptional cell states (Clusters 0 to 11; Figure 1c), reflecting intrinsic transcriptomic heterogeneity within basal-like TNBC. Guide-RNA assignment stratified the dataset into three cohorts: 3,930 cells carrying single-guide knockdowns (the unconfounded interventional cohort for causal discovery), 83,981 cells carrying combinatorial multi-guide profiles, and </w:t>
      </w:r>
      <w:r>
        <w:rPr>
          <w:sz w:val="22"/>
        </w:rPr>
        <w:lastRenderedPageBreak/>
        <w:t>7,767 unassigned negative control cells (Figure 1d; Table 1). The dataset summary and quality metrics are compiled in Table 1.</w:t>
      </w:r>
    </w:p>
    <w:p w:rsidR="000E6725" w:rsidRDefault="004B7759">
      <w:pPr>
        <w:keepNext/>
        <w:spacing w:before="120" w:after="80"/>
        <w:jc w:val="center"/>
      </w:pPr>
      <w:r>
        <w:rPr>
          <w:noProof/>
        </w:rPr>
        <w:drawing>
          <wp:inline distT="0" distB="0" distL="0" distR="0">
            <wp:extent cx="5669280" cy="4829582"/>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_1_SingleCell_QC_and_Landscape.png"/>
                    <pic:cNvPicPr/>
                  </pic:nvPicPr>
                  <pic:blipFill>
                    <a:blip r:embed="rId6"/>
                    <a:stretch>
                      <a:fillRect/>
                    </a:stretch>
                  </pic:blipFill>
                  <pic:spPr>
                    <a:xfrm>
                      <a:off x="0" y="0"/>
                      <a:ext cx="5669280" cy="4829582"/>
                    </a:xfrm>
                    <a:prstGeom prst="rect">
                      <a:avLst/>
                    </a:prstGeom>
                  </pic:spPr>
                </pic:pic>
              </a:graphicData>
            </a:graphic>
          </wp:inline>
        </w:drawing>
      </w:r>
    </w:p>
    <w:p w:rsidR="000E6725" w:rsidRDefault="004B7759">
      <w:pPr>
        <w:spacing w:before="60" w:after="240"/>
        <w:jc w:val="left"/>
      </w:pPr>
      <w:r>
        <w:rPr>
          <w:sz w:val="19"/>
        </w:rPr>
        <w:t>Figure 1 | Single-cell CRISPRi quality control, transcriptional landscape, and perturbation assignment in triple-negative breast cancer (MDA-MB-231). a, Library depth distribution across 95,678 single cells showing a median of 6,519 UMIs per cell. b, Unique gene diversity per cell (median 2,138 genes). c, Mitochondrial transcript percentage (&lt;15% cutoff). d, 2D UMAP projection colored by 12 coherent Leiden phenotypic clusters after Harmony batch integration across 8 flow cell lanes. e, UMAP colored by major breast cancer marker expression (CD44, VIM, EGFR). f, Distribution of cells assigned to targeting sgRNAs (median ~14 guides per enhancer) versus the non-targeting control pool (n &gt; 5,000 cells).</w:t>
      </w:r>
    </w:p>
    <w:p w:rsidR="009B51E6" w:rsidRDefault="009B51E6">
      <w:pPr>
        <w:keepNext/>
        <w:spacing w:before="200" w:after="40"/>
        <w:jc w:val="left"/>
        <w:rPr>
          <w:b/>
          <w:sz w:val="21"/>
        </w:rPr>
      </w:pPr>
    </w:p>
    <w:p w:rsidR="009B51E6" w:rsidRDefault="009B51E6">
      <w:pPr>
        <w:keepNext/>
        <w:spacing w:before="200" w:after="40"/>
        <w:jc w:val="left"/>
        <w:rPr>
          <w:b/>
          <w:sz w:val="21"/>
        </w:rPr>
      </w:pPr>
    </w:p>
    <w:p w:rsidR="000E6725" w:rsidRDefault="004B7759">
      <w:pPr>
        <w:keepNext/>
        <w:spacing w:before="200" w:after="40"/>
        <w:jc w:val="left"/>
      </w:pPr>
      <w:r>
        <w:rPr>
          <w:b/>
          <w:sz w:val="21"/>
        </w:rPr>
        <w:t xml:space="preserve">Table 1. Overview of the single-cell </w:t>
      </w:r>
      <w:proofErr w:type="spellStart"/>
      <w:r>
        <w:rPr>
          <w:b/>
          <w:sz w:val="21"/>
        </w:rPr>
        <w:t>CRISPRi</w:t>
      </w:r>
      <w:proofErr w:type="spellEnd"/>
      <w:r>
        <w:rPr>
          <w:b/>
          <w:sz w:val="21"/>
        </w:rPr>
        <w:t xml:space="preserve"> perturbation dataset and cohort parameters in TNBC (GSE224986).</w:t>
      </w:r>
    </w:p>
    <w:tbl>
      <w:tblPr>
        <w:tblStyle w:val="PlainTable2"/>
        <w:tblW w:w="0" w:type="auto"/>
        <w:tblLook w:val="04A0" w:firstRow="1" w:lastRow="0" w:firstColumn="1" w:lastColumn="0" w:noHBand="0" w:noVBand="1"/>
      </w:tblPr>
      <w:tblGrid>
        <w:gridCol w:w="4608"/>
        <w:gridCol w:w="4608"/>
      </w:tblGrid>
      <w:tr w:rsidR="000E6725" w:rsidTr="000336E6">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08" w:type="dxa"/>
          </w:tcPr>
          <w:p w:rsidR="000E6725" w:rsidRDefault="004B7759">
            <w:pPr>
              <w:spacing w:before="40" w:after="40" w:line="252" w:lineRule="auto"/>
              <w:jc w:val="center"/>
            </w:pPr>
            <w:r>
              <w:rPr>
                <w:sz w:val="19"/>
              </w:rPr>
              <w:t>Metric / Parameter</w:t>
            </w:r>
          </w:p>
        </w:tc>
        <w:tc>
          <w:tcPr>
            <w:tcW w:w="4608" w:type="dxa"/>
          </w:tcPr>
          <w:p w:rsidR="000E6725" w:rsidRDefault="004B7759">
            <w:pPr>
              <w:spacing w:before="40" w:after="40" w:line="252" w:lineRule="auto"/>
              <w:jc w:val="center"/>
              <w:cnfStyle w:val="100000000000" w:firstRow="1" w:lastRow="0" w:firstColumn="0" w:lastColumn="0" w:oddVBand="0" w:evenVBand="0" w:oddHBand="0" w:evenHBand="0" w:firstRowFirstColumn="0" w:firstRowLastColumn="0" w:lastRowFirstColumn="0" w:lastRowLastColumn="0"/>
            </w:pPr>
            <w:r>
              <w:rPr>
                <w:sz w:val="19"/>
              </w:rPr>
              <w:t>Value / Description</w:t>
            </w:r>
          </w:p>
        </w:tc>
      </w:tr>
      <w:tr w:rsidR="000E6725" w:rsidTr="000336E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08" w:type="dxa"/>
          </w:tcPr>
          <w:p w:rsidR="000E6725" w:rsidRDefault="004B7759">
            <w:pPr>
              <w:spacing w:before="40" w:after="40" w:line="252" w:lineRule="auto"/>
              <w:jc w:val="left"/>
            </w:pPr>
            <w:r>
              <w:rPr>
                <w:sz w:val="18"/>
              </w:rPr>
              <w:t>Organism</w:t>
            </w:r>
          </w:p>
        </w:tc>
        <w:tc>
          <w:tcPr>
            <w:tcW w:w="4608" w:type="dxa"/>
          </w:tcPr>
          <w:p w:rsidR="000E6725" w:rsidRDefault="004B7759">
            <w:pPr>
              <w:spacing w:before="40" w:after="40" w:line="252" w:lineRule="auto"/>
              <w:jc w:val="center"/>
              <w:cnfStyle w:val="000000100000" w:firstRow="0" w:lastRow="0" w:firstColumn="0" w:lastColumn="0" w:oddVBand="0" w:evenVBand="0" w:oddHBand="1" w:evenHBand="0" w:firstRowFirstColumn="0" w:firstRowLastColumn="0" w:lastRowFirstColumn="0" w:lastRowLastColumn="0"/>
            </w:pPr>
            <w:r>
              <w:rPr>
                <w:sz w:val="18"/>
              </w:rPr>
              <w:t>Homo sapiens (Human)</w:t>
            </w:r>
          </w:p>
        </w:tc>
      </w:tr>
      <w:tr w:rsidR="000E6725" w:rsidTr="000336E6">
        <w:tc>
          <w:tcPr>
            <w:cnfStyle w:val="001000000000" w:firstRow="0" w:lastRow="0" w:firstColumn="1" w:lastColumn="0" w:oddVBand="0" w:evenVBand="0" w:oddHBand="0" w:evenHBand="0" w:firstRowFirstColumn="0" w:firstRowLastColumn="0" w:lastRowFirstColumn="0" w:lastRowLastColumn="0"/>
            <w:tcW w:w="4608" w:type="dxa"/>
          </w:tcPr>
          <w:p w:rsidR="000E6725" w:rsidRDefault="004B7759">
            <w:pPr>
              <w:spacing w:before="40" w:after="40" w:line="252" w:lineRule="auto"/>
              <w:jc w:val="left"/>
            </w:pPr>
            <w:r>
              <w:rPr>
                <w:sz w:val="18"/>
              </w:rPr>
              <w:t>Breast Cancer Subtype</w:t>
            </w:r>
          </w:p>
        </w:tc>
        <w:tc>
          <w:tcPr>
            <w:tcW w:w="4608" w:type="dxa"/>
          </w:tcPr>
          <w:p w:rsidR="000E6725" w:rsidRDefault="004B7759">
            <w:pPr>
              <w:spacing w:before="40" w:after="40" w:line="252" w:lineRule="auto"/>
              <w:jc w:val="center"/>
              <w:cnfStyle w:val="000000000000" w:firstRow="0" w:lastRow="0" w:firstColumn="0" w:lastColumn="0" w:oddVBand="0" w:evenVBand="0" w:oddHBand="0" w:evenHBand="0" w:firstRowFirstColumn="0" w:firstRowLastColumn="0" w:lastRowFirstColumn="0" w:lastRowLastColumn="0"/>
            </w:pPr>
            <w:r>
              <w:rPr>
                <w:sz w:val="18"/>
              </w:rPr>
              <w:t>Triple-Negative Breast Cancer (TNBC)</w:t>
            </w:r>
          </w:p>
        </w:tc>
      </w:tr>
      <w:tr w:rsidR="000E6725" w:rsidTr="000336E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08" w:type="dxa"/>
          </w:tcPr>
          <w:p w:rsidR="000E6725" w:rsidRDefault="004B7759">
            <w:pPr>
              <w:spacing w:before="40" w:after="40" w:line="252" w:lineRule="auto"/>
              <w:jc w:val="left"/>
            </w:pPr>
            <w:r>
              <w:rPr>
                <w:sz w:val="18"/>
              </w:rPr>
              <w:lastRenderedPageBreak/>
              <w:t>Cell Line</w:t>
            </w:r>
          </w:p>
        </w:tc>
        <w:tc>
          <w:tcPr>
            <w:tcW w:w="4608" w:type="dxa"/>
          </w:tcPr>
          <w:p w:rsidR="000E6725" w:rsidRDefault="004B7759">
            <w:pPr>
              <w:spacing w:before="40" w:after="40" w:line="252" w:lineRule="auto"/>
              <w:jc w:val="center"/>
              <w:cnfStyle w:val="000000100000" w:firstRow="0" w:lastRow="0" w:firstColumn="0" w:lastColumn="0" w:oddVBand="0" w:evenVBand="0" w:oddHBand="1" w:evenHBand="0" w:firstRowFirstColumn="0" w:firstRowLastColumn="0" w:lastRowFirstColumn="0" w:lastRowLastColumn="0"/>
            </w:pPr>
            <w:r>
              <w:rPr>
                <w:sz w:val="18"/>
              </w:rPr>
              <w:t>MDA-MB-231</w:t>
            </w:r>
          </w:p>
        </w:tc>
      </w:tr>
      <w:tr w:rsidR="000E6725" w:rsidTr="000336E6">
        <w:tc>
          <w:tcPr>
            <w:cnfStyle w:val="001000000000" w:firstRow="0" w:lastRow="0" w:firstColumn="1" w:lastColumn="0" w:oddVBand="0" w:evenVBand="0" w:oddHBand="0" w:evenHBand="0" w:firstRowFirstColumn="0" w:firstRowLastColumn="0" w:lastRowFirstColumn="0" w:lastRowLastColumn="0"/>
            <w:tcW w:w="4608" w:type="dxa"/>
          </w:tcPr>
          <w:p w:rsidR="000E6725" w:rsidRDefault="004B7759">
            <w:pPr>
              <w:spacing w:before="40" w:after="40" w:line="252" w:lineRule="auto"/>
              <w:jc w:val="left"/>
            </w:pPr>
            <w:r>
              <w:rPr>
                <w:sz w:val="18"/>
              </w:rPr>
              <w:t>CRISPR Perturbation Modality</w:t>
            </w:r>
          </w:p>
        </w:tc>
        <w:tc>
          <w:tcPr>
            <w:tcW w:w="4608" w:type="dxa"/>
          </w:tcPr>
          <w:p w:rsidR="000E6725" w:rsidRDefault="004B7759">
            <w:pPr>
              <w:spacing w:before="40" w:after="40" w:line="252" w:lineRule="auto"/>
              <w:jc w:val="center"/>
              <w:cnfStyle w:val="000000000000" w:firstRow="0" w:lastRow="0" w:firstColumn="0" w:lastColumn="0" w:oddVBand="0" w:evenVBand="0" w:oddHBand="0" w:evenHBand="0" w:firstRowFirstColumn="0" w:firstRowLastColumn="0" w:lastRowFirstColumn="0" w:lastRowLastColumn="0"/>
            </w:pPr>
            <w:r>
              <w:rPr>
                <w:sz w:val="18"/>
              </w:rPr>
              <w:t>CRISPR interference (</w:t>
            </w:r>
            <w:proofErr w:type="spellStart"/>
            <w:r>
              <w:rPr>
                <w:sz w:val="18"/>
              </w:rPr>
              <w:t>CRISPRi</w:t>
            </w:r>
            <w:proofErr w:type="spellEnd"/>
            <w:r>
              <w:rPr>
                <w:sz w:val="18"/>
              </w:rPr>
              <w:t xml:space="preserve"> / dCas9-KRAB)</w:t>
            </w:r>
          </w:p>
        </w:tc>
      </w:tr>
      <w:tr w:rsidR="000E6725" w:rsidTr="000336E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08" w:type="dxa"/>
          </w:tcPr>
          <w:p w:rsidR="000E6725" w:rsidRDefault="004B7759">
            <w:pPr>
              <w:spacing w:before="40" w:after="40" w:line="252" w:lineRule="auto"/>
              <w:jc w:val="left"/>
            </w:pPr>
            <w:r>
              <w:rPr>
                <w:sz w:val="18"/>
              </w:rPr>
              <w:t>Screen Type</w:t>
            </w:r>
          </w:p>
        </w:tc>
        <w:tc>
          <w:tcPr>
            <w:tcW w:w="4608" w:type="dxa"/>
          </w:tcPr>
          <w:p w:rsidR="000E6725" w:rsidRDefault="004B7759">
            <w:pPr>
              <w:spacing w:before="40" w:after="40" w:line="252" w:lineRule="auto"/>
              <w:jc w:val="center"/>
              <w:cnfStyle w:val="000000100000" w:firstRow="0" w:lastRow="0" w:firstColumn="0" w:lastColumn="0" w:oddVBand="0" w:evenVBand="0" w:oddHBand="1" w:evenHBand="0" w:firstRowFirstColumn="0" w:firstRowLastColumn="0" w:lastRowFirstColumn="0" w:lastRowLastColumn="0"/>
            </w:pPr>
            <w:r>
              <w:rPr>
                <w:sz w:val="18"/>
              </w:rPr>
              <w:t>Somatic Mutation Regulatory Enhancer Screen</w:t>
            </w:r>
          </w:p>
        </w:tc>
      </w:tr>
      <w:tr w:rsidR="000E6725" w:rsidTr="000336E6">
        <w:tc>
          <w:tcPr>
            <w:cnfStyle w:val="001000000000" w:firstRow="0" w:lastRow="0" w:firstColumn="1" w:lastColumn="0" w:oddVBand="0" w:evenVBand="0" w:oddHBand="0" w:evenHBand="0" w:firstRowFirstColumn="0" w:firstRowLastColumn="0" w:lastRowFirstColumn="0" w:lastRowLastColumn="0"/>
            <w:tcW w:w="4608" w:type="dxa"/>
          </w:tcPr>
          <w:p w:rsidR="000E6725" w:rsidRDefault="004B7759">
            <w:pPr>
              <w:spacing w:before="40" w:after="40" w:line="252" w:lineRule="auto"/>
              <w:jc w:val="left"/>
            </w:pPr>
            <w:r>
              <w:rPr>
                <w:sz w:val="18"/>
              </w:rPr>
              <w:t>Total Sequenced Cells</w:t>
            </w:r>
          </w:p>
        </w:tc>
        <w:tc>
          <w:tcPr>
            <w:tcW w:w="4608" w:type="dxa"/>
          </w:tcPr>
          <w:p w:rsidR="000E6725" w:rsidRDefault="004B7759">
            <w:pPr>
              <w:spacing w:before="40" w:after="40" w:line="252" w:lineRule="auto"/>
              <w:jc w:val="center"/>
              <w:cnfStyle w:val="000000000000" w:firstRow="0" w:lastRow="0" w:firstColumn="0" w:lastColumn="0" w:oddVBand="0" w:evenVBand="0" w:oddHBand="0" w:evenHBand="0" w:firstRowFirstColumn="0" w:firstRowLastColumn="0" w:lastRowFirstColumn="0" w:lastRowLastColumn="0"/>
            </w:pPr>
            <w:r>
              <w:rPr>
                <w:sz w:val="18"/>
              </w:rPr>
              <w:t>95,678</w:t>
            </w:r>
          </w:p>
        </w:tc>
      </w:tr>
      <w:tr w:rsidR="000E6725" w:rsidTr="000336E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08" w:type="dxa"/>
          </w:tcPr>
          <w:p w:rsidR="000E6725" w:rsidRDefault="004B7759">
            <w:pPr>
              <w:spacing w:before="40" w:after="40" w:line="252" w:lineRule="auto"/>
              <w:jc w:val="left"/>
            </w:pPr>
            <w:r>
              <w:rPr>
                <w:sz w:val="18"/>
              </w:rPr>
              <w:t>Total Filtered Genes</w:t>
            </w:r>
          </w:p>
        </w:tc>
        <w:tc>
          <w:tcPr>
            <w:tcW w:w="4608" w:type="dxa"/>
          </w:tcPr>
          <w:p w:rsidR="000E6725" w:rsidRDefault="004B7759">
            <w:pPr>
              <w:spacing w:before="40" w:after="40" w:line="252" w:lineRule="auto"/>
              <w:jc w:val="center"/>
              <w:cnfStyle w:val="000000100000" w:firstRow="0" w:lastRow="0" w:firstColumn="0" w:lastColumn="0" w:oddVBand="0" w:evenVBand="0" w:oddHBand="1" w:evenHBand="0" w:firstRowFirstColumn="0" w:firstRowLastColumn="0" w:lastRowFirstColumn="0" w:lastRowLastColumn="0"/>
            </w:pPr>
            <w:r>
              <w:rPr>
                <w:sz w:val="18"/>
              </w:rPr>
              <w:t>32,799</w:t>
            </w:r>
          </w:p>
        </w:tc>
      </w:tr>
      <w:tr w:rsidR="000E6725" w:rsidTr="000336E6">
        <w:tc>
          <w:tcPr>
            <w:cnfStyle w:val="001000000000" w:firstRow="0" w:lastRow="0" w:firstColumn="1" w:lastColumn="0" w:oddVBand="0" w:evenVBand="0" w:oddHBand="0" w:evenHBand="0" w:firstRowFirstColumn="0" w:firstRowLastColumn="0" w:lastRowFirstColumn="0" w:lastRowLastColumn="0"/>
            <w:tcW w:w="4608" w:type="dxa"/>
          </w:tcPr>
          <w:p w:rsidR="000E6725" w:rsidRDefault="004B7759">
            <w:pPr>
              <w:spacing w:before="40" w:after="40" w:line="252" w:lineRule="auto"/>
              <w:jc w:val="left"/>
            </w:pPr>
            <w:r>
              <w:rPr>
                <w:sz w:val="18"/>
              </w:rPr>
              <w:t xml:space="preserve">Total </w:t>
            </w:r>
            <w:proofErr w:type="spellStart"/>
            <w:r>
              <w:rPr>
                <w:sz w:val="18"/>
              </w:rPr>
              <w:t>CRISPRi</w:t>
            </w:r>
            <w:proofErr w:type="spellEnd"/>
            <w:r>
              <w:rPr>
                <w:sz w:val="18"/>
              </w:rPr>
              <w:t xml:space="preserve"> Guides Preserved</w:t>
            </w:r>
          </w:p>
        </w:tc>
        <w:tc>
          <w:tcPr>
            <w:tcW w:w="4608" w:type="dxa"/>
          </w:tcPr>
          <w:p w:rsidR="000E6725" w:rsidRDefault="004B7759">
            <w:pPr>
              <w:spacing w:before="40" w:after="40" w:line="252" w:lineRule="auto"/>
              <w:jc w:val="center"/>
              <w:cnfStyle w:val="000000000000" w:firstRow="0" w:lastRow="0" w:firstColumn="0" w:lastColumn="0" w:oddVBand="0" w:evenVBand="0" w:oddHBand="0" w:evenHBand="0" w:firstRowFirstColumn="0" w:firstRowLastColumn="0" w:lastRowFirstColumn="0" w:lastRowLastColumn="0"/>
            </w:pPr>
            <w:r>
              <w:rPr>
                <w:sz w:val="18"/>
              </w:rPr>
              <w:t>11,975</w:t>
            </w:r>
          </w:p>
        </w:tc>
      </w:tr>
      <w:tr w:rsidR="000E6725" w:rsidTr="000336E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08" w:type="dxa"/>
          </w:tcPr>
          <w:p w:rsidR="000E6725" w:rsidRDefault="004B7759">
            <w:pPr>
              <w:spacing w:before="40" w:after="40" w:line="252" w:lineRule="auto"/>
              <w:jc w:val="left"/>
            </w:pPr>
            <w:r>
              <w:rPr>
                <w:sz w:val="18"/>
              </w:rPr>
              <w:t>Target Enhancer Loci</w:t>
            </w:r>
          </w:p>
        </w:tc>
        <w:tc>
          <w:tcPr>
            <w:tcW w:w="4608" w:type="dxa"/>
          </w:tcPr>
          <w:p w:rsidR="000E6725" w:rsidRDefault="004B7759">
            <w:pPr>
              <w:spacing w:before="40" w:after="40" w:line="252" w:lineRule="auto"/>
              <w:jc w:val="center"/>
              <w:cnfStyle w:val="000000100000" w:firstRow="0" w:lastRow="0" w:firstColumn="0" w:lastColumn="0" w:oddVBand="0" w:evenVBand="0" w:oddHBand="1" w:evenHBand="0" w:firstRowFirstColumn="0" w:firstRowLastColumn="0" w:lastRowFirstColumn="0" w:lastRowLastColumn="0"/>
            </w:pPr>
            <w:r>
              <w:rPr>
                <w:sz w:val="18"/>
              </w:rPr>
              <w:t>819</w:t>
            </w:r>
          </w:p>
        </w:tc>
      </w:tr>
      <w:tr w:rsidR="000E6725" w:rsidTr="000336E6">
        <w:tc>
          <w:tcPr>
            <w:cnfStyle w:val="001000000000" w:firstRow="0" w:lastRow="0" w:firstColumn="1" w:lastColumn="0" w:oddVBand="0" w:evenVBand="0" w:oddHBand="0" w:evenHBand="0" w:firstRowFirstColumn="0" w:firstRowLastColumn="0" w:lastRowFirstColumn="0" w:lastRowLastColumn="0"/>
            <w:tcW w:w="4608" w:type="dxa"/>
          </w:tcPr>
          <w:p w:rsidR="000E6725" w:rsidRDefault="004B7759">
            <w:pPr>
              <w:spacing w:before="40" w:after="40" w:line="252" w:lineRule="auto"/>
              <w:jc w:val="left"/>
            </w:pPr>
            <w:r>
              <w:rPr>
                <w:sz w:val="18"/>
              </w:rPr>
              <w:t>Single-Guide Perturbation Cohort (Primary Causal Analysis)</w:t>
            </w:r>
          </w:p>
        </w:tc>
        <w:tc>
          <w:tcPr>
            <w:tcW w:w="4608" w:type="dxa"/>
          </w:tcPr>
          <w:p w:rsidR="000E6725" w:rsidRDefault="004B7759">
            <w:pPr>
              <w:spacing w:before="40" w:after="40" w:line="252" w:lineRule="auto"/>
              <w:jc w:val="center"/>
              <w:cnfStyle w:val="000000000000" w:firstRow="0" w:lastRow="0" w:firstColumn="0" w:lastColumn="0" w:oddVBand="0" w:evenVBand="0" w:oddHBand="0" w:evenHBand="0" w:firstRowFirstColumn="0" w:firstRowLastColumn="0" w:lastRowFirstColumn="0" w:lastRowLastColumn="0"/>
            </w:pPr>
            <w:r>
              <w:rPr>
                <w:sz w:val="18"/>
              </w:rPr>
              <w:t>3,930 cells</w:t>
            </w:r>
          </w:p>
        </w:tc>
      </w:tr>
      <w:tr w:rsidR="000E6725" w:rsidTr="000336E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08" w:type="dxa"/>
          </w:tcPr>
          <w:p w:rsidR="000E6725" w:rsidRDefault="004B7759">
            <w:pPr>
              <w:spacing w:before="40" w:after="40" w:line="252" w:lineRule="auto"/>
              <w:jc w:val="left"/>
            </w:pPr>
            <w:r>
              <w:rPr>
                <w:sz w:val="18"/>
              </w:rPr>
              <w:t>Multi-Guide Combinatorial Cohort</w:t>
            </w:r>
          </w:p>
        </w:tc>
        <w:tc>
          <w:tcPr>
            <w:tcW w:w="4608" w:type="dxa"/>
          </w:tcPr>
          <w:p w:rsidR="000E6725" w:rsidRDefault="004B7759">
            <w:pPr>
              <w:spacing w:before="40" w:after="40" w:line="252" w:lineRule="auto"/>
              <w:jc w:val="center"/>
              <w:cnfStyle w:val="000000100000" w:firstRow="0" w:lastRow="0" w:firstColumn="0" w:lastColumn="0" w:oddVBand="0" w:evenVBand="0" w:oddHBand="1" w:evenHBand="0" w:firstRowFirstColumn="0" w:firstRowLastColumn="0" w:lastRowFirstColumn="0" w:lastRowLastColumn="0"/>
            </w:pPr>
            <w:r>
              <w:rPr>
                <w:sz w:val="18"/>
              </w:rPr>
              <w:t>83,981 cells</w:t>
            </w:r>
          </w:p>
        </w:tc>
      </w:tr>
      <w:tr w:rsidR="000E6725" w:rsidTr="000336E6">
        <w:tc>
          <w:tcPr>
            <w:cnfStyle w:val="001000000000" w:firstRow="0" w:lastRow="0" w:firstColumn="1" w:lastColumn="0" w:oddVBand="0" w:evenVBand="0" w:oddHBand="0" w:evenHBand="0" w:firstRowFirstColumn="0" w:firstRowLastColumn="0" w:lastRowFirstColumn="0" w:lastRowLastColumn="0"/>
            <w:tcW w:w="4608" w:type="dxa"/>
          </w:tcPr>
          <w:p w:rsidR="000E6725" w:rsidRDefault="004B7759">
            <w:pPr>
              <w:spacing w:before="40" w:after="40" w:line="252" w:lineRule="auto"/>
              <w:jc w:val="left"/>
            </w:pPr>
            <w:r>
              <w:rPr>
                <w:sz w:val="18"/>
              </w:rPr>
              <w:t>Unassigned / Control Cohort</w:t>
            </w:r>
          </w:p>
        </w:tc>
        <w:tc>
          <w:tcPr>
            <w:tcW w:w="4608" w:type="dxa"/>
          </w:tcPr>
          <w:p w:rsidR="000E6725" w:rsidRDefault="004B7759">
            <w:pPr>
              <w:spacing w:before="40" w:after="40" w:line="252" w:lineRule="auto"/>
              <w:jc w:val="center"/>
              <w:cnfStyle w:val="000000000000" w:firstRow="0" w:lastRow="0" w:firstColumn="0" w:lastColumn="0" w:oddVBand="0" w:evenVBand="0" w:oddHBand="0" w:evenHBand="0" w:firstRowFirstColumn="0" w:firstRowLastColumn="0" w:lastRowFirstColumn="0" w:lastRowLastColumn="0"/>
            </w:pPr>
            <w:r>
              <w:rPr>
                <w:sz w:val="18"/>
              </w:rPr>
              <w:t>7,767 cells</w:t>
            </w:r>
          </w:p>
        </w:tc>
      </w:tr>
      <w:tr w:rsidR="000E6725" w:rsidTr="000336E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08" w:type="dxa"/>
          </w:tcPr>
          <w:p w:rsidR="000E6725" w:rsidRDefault="004B7759">
            <w:pPr>
              <w:spacing w:before="40" w:after="40" w:line="252" w:lineRule="auto"/>
              <w:jc w:val="left"/>
            </w:pPr>
            <w:r>
              <w:rPr>
                <w:sz w:val="18"/>
              </w:rPr>
              <w:t>Experimental 10x Genomics Lanes</w:t>
            </w:r>
          </w:p>
        </w:tc>
        <w:tc>
          <w:tcPr>
            <w:tcW w:w="4608" w:type="dxa"/>
          </w:tcPr>
          <w:p w:rsidR="000E6725" w:rsidRDefault="004B7759">
            <w:pPr>
              <w:spacing w:before="40" w:after="40" w:line="252" w:lineRule="auto"/>
              <w:jc w:val="center"/>
              <w:cnfStyle w:val="000000100000" w:firstRow="0" w:lastRow="0" w:firstColumn="0" w:lastColumn="0" w:oddVBand="0" w:evenVBand="0" w:oddHBand="1" w:evenHBand="0" w:firstRowFirstColumn="0" w:firstRowLastColumn="0" w:lastRowFirstColumn="0" w:lastRowLastColumn="0"/>
            </w:pPr>
            <w:r>
              <w:rPr>
                <w:sz w:val="18"/>
              </w:rPr>
              <w:t>8 lanes (Lanes 1-8)</w:t>
            </w:r>
          </w:p>
        </w:tc>
      </w:tr>
    </w:tbl>
    <w:p w:rsidR="000E6725" w:rsidRDefault="004B7759">
      <w:pPr>
        <w:spacing w:before="60" w:after="200" w:line="252" w:lineRule="auto"/>
      </w:pPr>
      <w:r>
        <w:rPr>
          <w:i/>
          <w:color w:val="333333"/>
          <w:sz w:val="18"/>
        </w:rPr>
        <w:t xml:space="preserve">Note: Single-cell libraries were generated using 10x Genomics Chromium 3' chemistry with direct guide capture across </w:t>
      </w:r>
      <w:proofErr w:type="gramStart"/>
      <w:r>
        <w:rPr>
          <w:i/>
          <w:color w:val="333333"/>
          <w:sz w:val="18"/>
        </w:rPr>
        <w:t>8</w:t>
      </w:r>
      <w:proofErr w:type="gramEnd"/>
      <w:r>
        <w:rPr>
          <w:i/>
          <w:color w:val="333333"/>
          <w:sz w:val="18"/>
        </w:rPr>
        <w:t xml:space="preserve"> lanes (Lewis et al., 2024).</w:t>
      </w:r>
    </w:p>
    <w:p w:rsidR="000E6725" w:rsidRDefault="004B7759">
      <w:pPr>
        <w:keepNext/>
        <w:spacing w:before="240" w:after="60"/>
        <w:jc w:val="left"/>
      </w:pPr>
      <w:r>
        <w:rPr>
          <w:b/>
          <w:sz w:val="25"/>
        </w:rPr>
        <w:t>3.2 Epigenetic Super-Enhancer Landscape and Physical TF Occupancy</w:t>
      </w:r>
    </w:p>
    <w:p w:rsidR="000E6725" w:rsidRDefault="004B7759">
      <w:r>
        <w:t xml:space="preserve">Mapping ENCODE </w:t>
      </w:r>
      <w:proofErr w:type="spellStart"/>
      <w:r>
        <w:t>ChIP</w:t>
      </w:r>
      <w:proofErr w:type="spellEnd"/>
      <w:r>
        <w:t>-seq clustered binding peaks across targeted enhancer loci identified 15,059 physical binding events spanning 161 unique transcription factors (Figure 2a). Ranking transcription factors by target enhancer occupancy revealed that structural, transcriptional, and architectural regulators dominated enhancer chromatin: CTCF occupied 242 enhancers, POLR2A occupied 238 enhancers, EP300 occupied 175 enhancers, JUND occupied 155 enhancers, and RAD21 occupied 148 enhancers (Table 2; Figure 2a). Distribution of regulatory binding density demonstrated that over 65% of targeted enhancers were co-bound by more than 10 distinct transcription factors (Figure 2b), confirming that the targeted genomic regions represent high-density super-enhancers that function as multi-protein transcriptional engines.</w:t>
      </w:r>
    </w:p>
    <w:p w:rsidR="000E6725" w:rsidRDefault="004B7759">
      <w:pPr>
        <w:keepNext/>
        <w:spacing w:before="120" w:after="80"/>
        <w:jc w:val="center"/>
      </w:pPr>
      <w:r>
        <w:rPr>
          <w:noProof/>
        </w:rPr>
        <w:drawing>
          <wp:inline distT="0" distB="0" distL="0" distR="0">
            <wp:extent cx="5669280" cy="2782665"/>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_2_MultiOmics_TF_Enhancer_Priors.png"/>
                    <pic:cNvPicPr/>
                  </pic:nvPicPr>
                  <pic:blipFill>
                    <a:blip r:embed="rId7"/>
                    <a:stretch>
                      <a:fillRect/>
                    </a:stretch>
                  </pic:blipFill>
                  <pic:spPr>
                    <a:xfrm>
                      <a:off x="0" y="0"/>
                      <a:ext cx="5669280" cy="2782665"/>
                    </a:xfrm>
                    <a:prstGeom prst="rect">
                      <a:avLst/>
                    </a:prstGeom>
                  </pic:spPr>
                </pic:pic>
              </a:graphicData>
            </a:graphic>
          </wp:inline>
        </w:drawing>
      </w:r>
    </w:p>
    <w:p w:rsidR="000E6725" w:rsidRDefault="004B7759">
      <w:pPr>
        <w:spacing w:before="60" w:after="240"/>
        <w:jc w:val="left"/>
      </w:pPr>
      <w:r>
        <w:rPr>
          <w:sz w:val="19"/>
        </w:rPr>
        <w:t xml:space="preserve">Figure 2 | Epigenetic multi-omics prior mapping of transcription factor binding to perturbed enhancers in TNBC. a, Top master transcription factors ranked by physical target enhancer occupancy based on ENCODE Factorbook ChIP-seq peak clusters. b, Distribution of physical ChIP-seq confidence scores (Craw / 1000) across targeted enhancer intervals. c, </w:t>
      </w:r>
      <w:r>
        <w:rPr>
          <w:sz w:val="19"/>
        </w:rPr>
        <w:lastRenderedPageBreak/>
        <w:t>Enhancer occupancy profile showing co-binding of architectural factors (CTCF, RAD21) and transcriptional activators (EP300, AP-1) representing physical binding priors prior to functional perturbation integration.</w:t>
      </w:r>
    </w:p>
    <w:p w:rsidR="000E6725" w:rsidRDefault="004B7759">
      <w:pPr>
        <w:keepNext/>
        <w:spacing w:before="200" w:after="40"/>
        <w:jc w:val="left"/>
      </w:pPr>
      <w:r>
        <w:rPr>
          <w:b/>
          <w:sz w:val="21"/>
        </w:rPr>
        <w:t xml:space="preserve">Table 2. Top transcription factors physically bound to perturbed enhancers in TNBC (ENCODE </w:t>
      </w:r>
      <w:proofErr w:type="spellStart"/>
      <w:r>
        <w:rPr>
          <w:b/>
          <w:sz w:val="21"/>
        </w:rPr>
        <w:t>ChIP</w:t>
      </w:r>
      <w:proofErr w:type="spellEnd"/>
      <w:r>
        <w:rPr>
          <w:b/>
          <w:sz w:val="21"/>
        </w:rPr>
        <w:t>-seq priors).</w:t>
      </w:r>
    </w:p>
    <w:tbl>
      <w:tblPr>
        <w:tblStyle w:val="PlainTable2"/>
        <w:tblW w:w="0" w:type="auto"/>
        <w:tblLook w:val="04A0" w:firstRow="1" w:lastRow="0" w:firstColumn="1" w:lastColumn="0" w:noHBand="0" w:noVBand="1"/>
      </w:tblPr>
      <w:tblGrid>
        <w:gridCol w:w="2160"/>
        <w:gridCol w:w="1728"/>
        <w:gridCol w:w="1728"/>
        <w:gridCol w:w="1872"/>
        <w:gridCol w:w="1728"/>
      </w:tblGrid>
      <w:tr w:rsidR="000E6725" w:rsidTr="00E205C5">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rsidR="000E6725" w:rsidRDefault="004B7759">
            <w:pPr>
              <w:spacing w:before="40" w:after="40" w:line="252" w:lineRule="auto"/>
              <w:jc w:val="center"/>
            </w:pPr>
            <w:r>
              <w:rPr>
                <w:sz w:val="19"/>
              </w:rPr>
              <w:t>Transcription Factor</w:t>
            </w:r>
          </w:p>
        </w:tc>
        <w:tc>
          <w:tcPr>
            <w:tcW w:w="1728" w:type="dxa"/>
          </w:tcPr>
          <w:p w:rsidR="000E6725" w:rsidRDefault="004B7759">
            <w:pPr>
              <w:spacing w:before="40" w:after="40" w:line="252" w:lineRule="auto"/>
              <w:jc w:val="center"/>
              <w:cnfStyle w:val="100000000000" w:firstRow="1" w:lastRow="0" w:firstColumn="0" w:lastColumn="0" w:oddVBand="0" w:evenVBand="0" w:oddHBand="0" w:evenHBand="0" w:firstRowFirstColumn="0" w:firstRowLastColumn="0" w:lastRowFirstColumn="0" w:lastRowLastColumn="0"/>
            </w:pPr>
            <w:r>
              <w:rPr>
                <w:sz w:val="19"/>
              </w:rPr>
              <w:t>Target Enhancers</w:t>
            </w:r>
          </w:p>
        </w:tc>
        <w:tc>
          <w:tcPr>
            <w:tcW w:w="1728" w:type="dxa"/>
          </w:tcPr>
          <w:p w:rsidR="000E6725" w:rsidRDefault="004B7759">
            <w:pPr>
              <w:spacing w:before="40" w:after="40" w:line="252" w:lineRule="auto"/>
              <w:jc w:val="center"/>
              <w:cnfStyle w:val="100000000000" w:firstRow="1" w:lastRow="0" w:firstColumn="0" w:lastColumn="0" w:oddVBand="0" w:evenVBand="0" w:oddHBand="0" w:evenHBand="0" w:firstRowFirstColumn="0" w:firstRowLastColumn="0" w:lastRowFirstColumn="0" w:lastRowLastColumn="0"/>
            </w:pPr>
            <w:r>
              <w:rPr>
                <w:sz w:val="19"/>
              </w:rPr>
              <w:t>Total Binding Events</w:t>
            </w:r>
          </w:p>
        </w:tc>
        <w:tc>
          <w:tcPr>
            <w:tcW w:w="1872" w:type="dxa"/>
          </w:tcPr>
          <w:p w:rsidR="000E6725" w:rsidRDefault="004B7759">
            <w:pPr>
              <w:spacing w:before="40" w:after="40" w:line="252" w:lineRule="auto"/>
              <w:jc w:val="center"/>
              <w:cnfStyle w:val="100000000000" w:firstRow="1" w:lastRow="0" w:firstColumn="0" w:lastColumn="0" w:oddVBand="0" w:evenVBand="0" w:oddHBand="0" w:evenHBand="0" w:firstRowFirstColumn="0" w:firstRowLastColumn="0" w:lastRowFirstColumn="0" w:lastRowLastColumn="0"/>
            </w:pPr>
            <w:r>
              <w:rPr>
                <w:sz w:val="19"/>
              </w:rPr>
              <w:t xml:space="preserve">Mean </w:t>
            </w:r>
            <w:proofErr w:type="spellStart"/>
            <w:r>
              <w:rPr>
                <w:sz w:val="19"/>
              </w:rPr>
              <w:t>ChIP</w:t>
            </w:r>
            <w:proofErr w:type="spellEnd"/>
            <w:r>
              <w:rPr>
                <w:sz w:val="19"/>
              </w:rPr>
              <w:t xml:space="preserve"> Confidence</w:t>
            </w:r>
          </w:p>
        </w:tc>
        <w:tc>
          <w:tcPr>
            <w:tcW w:w="1728" w:type="dxa"/>
          </w:tcPr>
          <w:p w:rsidR="000E6725" w:rsidRDefault="004B7759">
            <w:pPr>
              <w:spacing w:before="40" w:after="40" w:line="252" w:lineRule="auto"/>
              <w:jc w:val="center"/>
              <w:cnfStyle w:val="100000000000" w:firstRow="1" w:lastRow="0" w:firstColumn="0" w:lastColumn="0" w:oddVBand="0" w:evenVBand="0" w:oddHBand="0" w:evenHBand="0" w:firstRowFirstColumn="0" w:firstRowLastColumn="0" w:lastRowFirstColumn="0" w:lastRowLastColumn="0"/>
            </w:pPr>
            <w:r>
              <w:rPr>
                <w:sz w:val="19"/>
              </w:rPr>
              <w:t xml:space="preserve">Max </w:t>
            </w:r>
            <w:proofErr w:type="spellStart"/>
            <w:r>
              <w:rPr>
                <w:sz w:val="19"/>
              </w:rPr>
              <w:t>ChIP</w:t>
            </w:r>
            <w:proofErr w:type="spellEnd"/>
            <w:r>
              <w:rPr>
                <w:sz w:val="19"/>
              </w:rPr>
              <w:t xml:space="preserve"> Confidence</w:t>
            </w:r>
          </w:p>
        </w:tc>
      </w:tr>
      <w:tr w:rsidR="000E6725" w:rsidTr="00E205C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rsidR="000E6725" w:rsidRDefault="004B7759">
            <w:pPr>
              <w:spacing w:before="40" w:after="40" w:line="252" w:lineRule="auto"/>
              <w:jc w:val="left"/>
            </w:pPr>
            <w:r>
              <w:rPr>
                <w:sz w:val="18"/>
              </w:rPr>
              <w:t>CTCF</w:t>
            </w:r>
          </w:p>
        </w:tc>
        <w:tc>
          <w:tcPr>
            <w:tcW w:w="1728" w:type="dxa"/>
          </w:tcPr>
          <w:p w:rsidR="000E6725" w:rsidRDefault="004B7759">
            <w:pPr>
              <w:spacing w:before="40" w:after="40" w:line="252" w:lineRule="auto"/>
              <w:jc w:val="center"/>
              <w:cnfStyle w:val="000000100000" w:firstRow="0" w:lastRow="0" w:firstColumn="0" w:lastColumn="0" w:oddVBand="0" w:evenVBand="0" w:oddHBand="1" w:evenHBand="0" w:firstRowFirstColumn="0" w:firstRowLastColumn="0" w:lastRowFirstColumn="0" w:lastRowLastColumn="0"/>
            </w:pPr>
            <w:r>
              <w:rPr>
                <w:sz w:val="18"/>
              </w:rPr>
              <w:t>242</w:t>
            </w:r>
          </w:p>
        </w:tc>
        <w:tc>
          <w:tcPr>
            <w:tcW w:w="1728" w:type="dxa"/>
          </w:tcPr>
          <w:p w:rsidR="000E6725" w:rsidRDefault="004B7759">
            <w:pPr>
              <w:spacing w:before="40" w:after="40" w:line="252" w:lineRule="auto"/>
              <w:jc w:val="center"/>
              <w:cnfStyle w:val="000000100000" w:firstRow="0" w:lastRow="0" w:firstColumn="0" w:lastColumn="0" w:oddVBand="0" w:evenVBand="0" w:oddHBand="1" w:evenHBand="0" w:firstRowFirstColumn="0" w:firstRowLastColumn="0" w:lastRowFirstColumn="0" w:lastRowLastColumn="0"/>
            </w:pPr>
            <w:r>
              <w:rPr>
                <w:sz w:val="18"/>
              </w:rPr>
              <w:t>253</w:t>
            </w:r>
          </w:p>
        </w:tc>
        <w:tc>
          <w:tcPr>
            <w:tcW w:w="1872" w:type="dxa"/>
          </w:tcPr>
          <w:p w:rsidR="000E6725" w:rsidRDefault="004B7759">
            <w:pPr>
              <w:spacing w:before="40" w:after="40" w:line="252" w:lineRule="auto"/>
              <w:jc w:val="center"/>
              <w:cnfStyle w:val="000000100000" w:firstRow="0" w:lastRow="0" w:firstColumn="0" w:lastColumn="0" w:oddVBand="0" w:evenVBand="0" w:oddHBand="1" w:evenHBand="0" w:firstRowFirstColumn="0" w:firstRowLastColumn="0" w:lastRowFirstColumn="0" w:lastRowLastColumn="0"/>
            </w:pPr>
            <w:r>
              <w:rPr>
                <w:sz w:val="18"/>
              </w:rPr>
              <w:t>485.6</w:t>
            </w:r>
          </w:p>
        </w:tc>
        <w:tc>
          <w:tcPr>
            <w:tcW w:w="1728" w:type="dxa"/>
          </w:tcPr>
          <w:p w:rsidR="000E6725" w:rsidRDefault="004B7759">
            <w:pPr>
              <w:spacing w:before="40" w:after="40" w:line="252" w:lineRule="auto"/>
              <w:jc w:val="center"/>
              <w:cnfStyle w:val="000000100000" w:firstRow="0" w:lastRow="0" w:firstColumn="0" w:lastColumn="0" w:oddVBand="0" w:evenVBand="0" w:oddHBand="1" w:evenHBand="0" w:firstRowFirstColumn="0" w:firstRowLastColumn="0" w:lastRowFirstColumn="0" w:lastRowLastColumn="0"/>
            </w:pPr>
            <w:r>
              <w:rPr>
                <w:sz w:val="18"/>
              </w:rPr>
              <w:t>1000</w:t>
            </w:r>
          </w:p>
        </w:tc>
      </w:tr>
      <w:tr w:rsidR="000E6725" w:rsidTr="00E205C5">
        <w:tc>
          <w:tcPr>
            <w:cnfStyle w:val="001000000000" w:firstRow="0" w:lastRow="0" w:firstColumn="1" w:lastColumn="0" w:oddVBand="0" w:evenVBand="0" w:oddHBand="0" w:evenHBand="0" w:firstRowFirstColumn="0" w:firstRowLastColumn="0" w:lastRowFirstColumn="0" w:lastRowLastColumn="0"/>
            <w:tcW w:w="2160" w:type="dxa"/>
          </w:tcPr>
          <w:p w:rsidR="000E6725" w:rsidRDefault="004B7759">
            <w:pPr>
              <w:spacing w:before="40" w:after="40" w:line="252" w:lineRule="auto"/>
              <w:jc w:val="left"/>
            </w:pPr>
            <w:r>
              <w:rPr>
                <w:sz w:val="18"/>
              </w:rPr>
              <w:t>POLR2A</w:t>
            </w:r>
          </w:p>
        </w:tc>
        <w:tc>
          <w:tcPr>
            <w:tcW w:w="1728" w:type="dxa"/>
          </w:tcPr>
          <w:p w:rsidR="000E6725" w:rsidRDefault="004B7759">
            <w:pPr>
              <w:spacing w:before="40" w:after="40" w:line="252" w:lineRule="auto"/>
              <w:jc w:val="center"/>
              <w:cnfStyle w:val="000000000000" w:firstRow="0" w:lastRow="0" w:firstColumn="0" w:lastColumn="0" w:oddVBand="0" w:evenVBand="0" w:oddHBand="0" w:evenHBand="0" w:firstRowFirstColumn="0" w:firstRowLastColumn="0" w:lastRowFirstColumn="0" w:lastRowLastColumn="0"/>
            </w:pPr>
            <w:r>
              <w:rPr>
                <w:sz w:val="18"/>
              </w:rPr>
              <w:t>238</w:t>
            </w:r>
          </w:p>
        </w:tc>
        <w:tc>
          <w:tcPr>
            <w:tcW w:w="1728" w:type="dxa"/>
          </w:tcPr>
          <w:p w:rsidR="000E6725" w:rsidRDefault="004B7759">
            <w:pPr>
              <w:spacing w:before="40" w:after="40" w:line="252" w:lineRule="auto"/>
              <w:jc w:val="center"/>
              <w:cnfStyle w:val="000000000000" w:firstRow="0" w:lastRow="0" w:firstColumn="0" w:lastColumn="0" w:oddVBand="0" w:evenVBand="0" w:oddHBand="0" w:evenHBand="0" w:firstRowFirstColumn="0" w:firstRowLastColumn="0" w:lastRowFirstColumn="0" w:lastRowLastColumn="0"/>
            </w:pPr>
            <w:r>
              <w:rPr>
                <w:sz w:val="18"/>
              </w:rPr>
              <w:t>249</w:t>
            </w:r>
          </w:p>
        </w:tc>
        <w:tc>
          <w:tcPr>
            <w:tcW w:w="1872" w:type="dxa"/>
          </w:tcPr>
          <w:p w:rsidR="000E6725" w:rsidRDefault="004B7759">
            <w:pPr>
              <w:spacing w:before="40" w:after="40" w:line="252" w:lineRule="auto"/>
              <w:jc w:val="center"/>
              <w:cnfStyle w:val="000000000000" w:firstRow="0" w:lastRow="0" w:firstColumn="0" w:lastColumn="0" w:oddVBand="0" w:evenVBand="0" w:oddHBand="0" w:evenHBand="0" w:firstRowFirstColumn="0" w:firstRowLastColumn="0" w:lastRowFirstColumn="0" w:lastRowLastColumn="0"/>
            </w:pPr>
            <w:r>
              <w:rPr>
                <w:sz w:val="18"/>
              </w:rPr>
              <w:t>511.4</w:t>
            </w:r>
          </w:p>
        </w:tc>
        <w:tc>
          <w:tcPr>
            <w:tcW w:w="1728" w:type="dxa"/>
          </w:tcPr>
          <w:p w:rsidR="000E6725" w:rsidRDefault="004B7759">
            <w:pPr>
              <w:spacing w:before="40" w:after="40" w:line="252" w:lineRule="auto"/>
              <w:jc w:val="center"/>
              <w:cnfStyle w:val="000000000000" w:firstRow="0" w:lastRow="0" w:firstColumn="0" w:lastColumn="0" w:oddVBand="0" w:evenVBand="0" w:oddHBand="0" w:evenHBand="0" w:firstRowFirstColumn="0" w:firstRowLastColumn="0" w:lastRowFirstColumn="0" w:lastRowLastColumn="0"/>
            </w:pPr>
            <w:r>
              <w:rPr>
                <w:sz w:val="18"/>
              </w:rPr>
              <w:t>1000</w:t>
            </w:r>
          </w:p>
        </w:tc>
      </w:tr>
      <w:tr w:rsidR="000E6725" w:rsidTr="00E205C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rsidR="000E6725" w:rsidRDefault="004B7759">
            <w:pPr>
              <w:spacing w:before="40" w:after="40" w:line="252" w:lineRule="auto"/>
              <w:jc w:val="left"/>
            </w:pPr>
            <w:r>
              <w:rPr>
                <w:sz w:val="18"/>
              </w:rPr>
              <w:t>EP300</w:t>
            </w:r>
          </w:p>
        </w:tc>
        <w:tc>
          <w:tcPr>
            <w:tcW w:w="1728" w:type="dxa"/>
          </w:tcPr>
          <w:p w:rsidR="000E6725" w:rsidRDefault="004B7759">
            <w:pPr>
              <w:spacing w:before="40" w:after="40" w:line="252" w:lineRule="auto"/>
              <w:jc w:val="center"/>
              <w:cnfStyle w:val="000000100000" w:firstRow="0" w:lastRow="0" w:firstColumn="0" w:lastColumn="0" w:oddVBand="0" w:evenVBand="0" w:oddHBand="1" w:evenHBand="0" w:firstRowFirstColumn="0" w:firstRowLastColumn="0" w:lastRowFirstColumn="0" w:lastRowLastColumn="0"/>
            </w:pPr>
            <w:r>
              <w:rPr>
                <w:sz w:val="18"/>
              </w:rPr>
              <w:t>175</w:t>
            </w:r>
          </w:p>
        </w:tc>
        <w:tc>
          <w:tcPr>
            <w:tcW w:w="1728" w:type="dxa"/>
          </w:tcPr>
          <w:p w:rsidR="000E6725" w:rsidRDefault="004B7759">
            <w:pPr>
              <w:spacing w:before="40" w:after="40" w:line="252" w:lineRule="auto"/>
              <w:jc w:val="center"/>
              <w:cnfStyle w:val="000000100000" w:firstRow="0" w:lastRow="0" w:firstColumn="0" w:lastColumn="0" w:oddVBand="0" w:evenVBand="0" w:oddHBand="1" w:evenHBand="0" w:firstRowFirstColumn="0" w:firstRowLastColumn="0" w:lastRowFirstColumn="0" w:lastRowLastColumn="0"/>
            </w:pPr>
            <w:r>
              <w:rPr>
                <w:sz w:val="18"/>
              </w:rPr>
              <w:t>186</w:t>
            </w:r>
          </w:p>
        </w:tc>
        <w:tc>
          <w:tcPr>
            <w:tcW w:w="1872" w:type="dxa"/>
          </w:tcPr>
          <w:p w:rsidR="000E6725" w:rsidRDefault="004B7759">
            <w:pPr>
              <w:spacing w:before="40" w:after="40" w:line="252" w:lineRule="auto"/>
              <w:jc w:val="center"/>
              <w:cnfStyle w:val="000000100000" w:firstRow="0" w:lastRow="0" w:firstColumn="0" w:lastColumn="0" w:oddVBand="0" w:evenVBand="0" w:oddHBand="1" w:evenHBand="0" w:firstRowFirstColumn="0" w:firstRowLastColumn="0" w:lastRowFirstColumn="0" w:lastRowLastColumn="0"/>
            </w:pPr>
            <w:r>
              <w:rPr>
                <w:sz w:val="18"/>
              </w:rPr>
              <w:t>557.3</w:t>
            </w:r>
          </w:p>
        </w:tc>
        <w:tc>
          <w:tcPr>
            <w:tcW w:w="1728" w:type="dxa"/>
          </w:tcPr>
          <w:p w:rsidR="000E6725" w:rsidRDefault="004B7759">
            <w:pPr>
              <w:spacing w:before="40" w:after="40" w:line="252" w:lineRule="auto"/>
              <w:jc w:val="center"/>
              <w:cnfStyle w:val="000000100000" w:firstRow="0" w:lastRow="0" w:firstColumn="0" w:lastColumn="0" w:oddVBand="0" w:evenVBand="0" w:oddHBand="1" w:evenHBand="0" w:firstRowFirstColumn="0" w:firstRowLastColumn="0" w:lastRowFirstColumn="0" w:lastRowLastColumn="0"/>
            </w:pPr>
            <w:r>
              <w:rPr>
                <w:sz w:val="18"/>
              </w:rPr>
              <w:t>1000</w:t>
            </w:r>
          </w:p>
        </w:tc>
      </w:tr>
      <w:tr w:rsidR="000E6725" w:rsidTr="00E205C5">
        <w:tc>
          <w:tcPr>
            <w:cnfStyle w:val="001000000000" w:firstRow="0" w:lastRow="0" w:firstColumn="1" w:lastColumn="0" w:oddVBand="0" w:evenVBand="0" w:oddHBand="0" w:evenHBand="0" w:firstRowFirstColumn="0" w:firstRowLastColumn="0" w:lastRowFirstColumn="0" w:lastRowLastColumn="0"/>
            <w:tcW w:w="2160" w:type="dxa"/>
          </w:tcPr>
          <w:p w:rsidR="000E6725" w:rsidRDefault="004B7759">
            <w:pPr>
              <w:spacing w:before="40" w:after="40" w:line="252" w:lineRule="auto"/>
              <w:jc w:val="left"/>
            </w:pPr>
            <w:r>
              <w:rPr>
                <w:sz w:val="18"/>
              </w:rPr>
              <w:t>JUND</w:t>
            </w:r>
          </w:p>
        </w:tc>
        <w:tc>
          <w:tcPr>
            <w:tcW w:w="1728" w:type="dxa"/>
          </w:tcPr>
          <w:p w:rsidR="000E6725" w:rsidRDefault="004B7759">
            <w:pPr>
              <w:spacing w:before="40" w:after="40" w:line="252" w:lineRule="auto"/>
              <w:jc w:val="center"/>
              <w:cnfStyle w:val="000000000000" w:firstRow="0" w:lastRow="0" w:firstColumn="0" w:lastColumn="0" w:oddVBand="0" w:evenVBand="0" w:oddHBand="0" w:evenHBand="0" w:firstRowFirstColumn="0" w:firstRowLastColumn="0" w:lastRowFirstColumn="0" w:lastRowLastColumn="0"/>
            </w:pPr>
            <w:r>
              <w:rPr>
                <w:sz w:val="18"/>
              </w:rPr>
              <w:t>155</w:t>
            </w:r>
          </w:p>
        </w:tc>
        <w:tc>
          <w:tcPr>
            <w:tcW w:w="1728" w:type="dxa"/>
          </w:tcPr>
          <w:p w:rsidR="000E6725" w:rsidRDefault="004B7759">
            <w:pPr>
              <w:spacing w:before="40" w:after="40" w:line="252" w:lineRule="auto"/>
              <w:jc w:val="center"/>
              <w:cnfStyle w:val="000000000000" w:firstRow="0" w:lastRow="0" w:firstColumn="0" w:lastColumn="0" w:oddVBand="0" w:evenVBand="0" w:oddHBand="0" w:evenHBand="0" w:firstRowFirstColumn="0" w:firstRowLastColumn="0" w:lastRowFirstColumn="0" w:lastRowLastColumn="0"/>
            </w:pPr>
            <w:r>
              <w:rPr>
                <w:sz w:val="18"/>
              </w:rPr>
              <w:t>166</w:t>
            </w:r>
          </w:p>
        </w:tc>
        <w:tc>
          <w:tcPr>
            <w:tcW w:w="1872" w:type="dxa"/>
          </w:tcPr>
          <w:p w:rsidR="000E6725" w:rsidRDefault="004B7759">
            <w:pPr>
              <w:spacing w:before="40" w:after="40" w:line="252" w:lineRule="auto"/>
              <w:jc w:val="center"/>
              <w:cnfStyle w:val="000000000000" w:firstRow="0" w:lastRow="0" w:firstColumn="0" w:lastColumn="0" w:oddVBand="0" w:evenVBand="0" w:oddHBand="0" w:evenHBand="0" w:firstRowFirstColumn="0" w:firstRowLastColumn="0" w:lastRowFirstColumn="0" w:lastRowLastColumn="0"/>
            </w:pPr>
            <w:r>
              <w:rPr>
                <w:sz w:val="18"/>
              </w:rPr>
              <w:t>517.9</w:t>
            </w:r>
          </w:p>
        </w:tc>
        <w:tc>
          <w:tcPr>
            <w:tcW w:w="1728" w:type="dxa"/>
          </w:tcPr>
          <w:p w:rsidR="000E6725" w:rsidRDefault="004B7759">
            <w:pPr>
              <w:spacing w:before="40" w:after="40" w:line="252" w:lineRule="auto"/>
              <w:jc w:val="center"/>
              <w:cnfStyle w:val="000000000000" w:firstRow="0" w:lastRow="0" w:firstColumn="0" w:lastColumn="0" w:oddVBand="0" w:evenVBand="0" w:oddHBand="0" w:evenHBand="0" w:firstRowFirstColumn="0" w:firstRowLastColumn="0" w:lastRowFirstColumn="0" w:lastRowLastColumn="0"/>
            </w:pPr>
            <w:r>
              <w:rPr>
                <w:sz w:val="18"/>
              </w:rPr>
              <w:t>1000</w:t>
            </w:r>
          </w:p>
        </w:tc>
      </w:tr>
      <w:tr w:rsidR="000E6725" w:rsidTr="00E205C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rsidR="000E6725" w:rsidRDefault="004B7759">
            <w:pPr>
              <w:spacing w:before="40" w:after="40" w:line="252" w:lineRule="auto"/>
              <w:jc w:val="left"/>
            </w:pPr>
            <w:r>
              <w:rPr>
                <w:sz w:val="18"/>
              </w:rPr>
              <w:t>RAD21</w:t>
            </w:r>
          </w:p>
        </w:tc>
        <w:tc>
          <w:tcPr>
            <w:tcW w:w="1728" w:type="dxa"/>
          </w:tcPr>
          <w:p w:rsidR="000E6725" w:rsidRDefault="004B7759">
            <w:pPr>
              <w:spacing w:before="40" w:after="40" w:line="252" w:lineRule="auto"/>
              <w:jc w:val="center"/>
              <w:cnfStyle w:val="000000100000" w:firstRow="0" w:lastRow="0" w:firstColumn="0" w:lastColumn="0" w:oddVBand="0" w:evenVBand="0" w:oddHBand="1" w:evenHBand="0" w:firstRowFirstColumn="0" w:firstRowLastColumn="0" w:lastRowFirstColumn="0" w:lastRowLastColumn="0"/>
            </w:pPr>
            <w:r>
              <w:rPr>
                <w:sz w:val="18"/>
              </w:rPr>
              <w:t>148</w:t>
            </w:r>
          </w:p>
        </w:tc>
        <w:tc>
          <w:tcPr>
            <w:tcW w:w="1728" w:type="dxa"/>
          </w:tcPr>
          <w:p w:rsidR="000E6725" w:rsidRDefault="004B7759">
            <w:pPr>
              <w:spacing w:before="40" w:after="40" w:line="252" w:lineRule="auto"/>
              <w:jc w:val="center"/>
              <w:cnfStyle w:val="000000100000" w:firstRow="0" w:lastRow="0" w:firstColumn="0" w:lastColumn="0" w:oddVBand="0" w:evenVBand="0" w:oddHBand="1" w:evenHBand="0" w:firstRowFirstColumn="0" w:firstRowLastColumn="0" w:lastRowFirstColumn="0" w:lastRowLastColumn="0"/>
            </w:pPr>
            <w:r>
              <w:rPr>
                <w:sz w:val="18"/>
              </w:rPr>
              <w:t>158</w:t>
            </w:r>
          </w:p>
        </w:tc>
        <w:tc>
          <w:tcPr>
            <w:tcW w:w="1872" w:type="dxa"/>
          </w:tcPr>
          <w:p w:rsidR="000E6725" w:rsidRDefault="004B7759">
            <w:pPr>
              <w:spacing w:before="40" w:after="40" w:line="252" w:lineRule="auto"/>
              <w:jc w:val="center"/>
              <w:cnfStyle w:val="000000100000" w:firstRow="0" w:lastRow="0" w:firstColumn="0" w:lastColumn="0" w:oddVBand="0" w:evenVBand="0" w:oddHBand="1" w:evenHBand="0" w:firstRowFirstColumn="0" w:firstRowLastColumn="0" w:lastRowFirstColumn="0" w:lastRowLastColumn="0"/>
            </w:pPr>
            <w:r>
              <w:rPr>
                <w:sz w:val="18"/>
              </w:rPr>
              <w:t>406.3</w:t>
            </w:r>
          </w:p>
        </w:tc>
        <w:tc>
          <w:tcPr>
            <w:tcW w:w="1728" w:type="dxa"/>
          </w:tcPr>
          <w:p w:rsidR="000E6725" w:rsidRDefault="004B7759">
            <w:pPr>
              <w:spacing w:before="40" w:after="40" w:line="252" w:lineRule="auto"/>
              <w:jc w:val="center"/>
              <w:cnfStyle w:val="000000100000" w:firstRow="0" w:lastRow="0" w:firstColumn="0" w:lastColumn="0" w:oddVBand="0" w:evenVBand="0" w:oddHBand="1" w:evenHBand="0" w:firstRowFirstColumn="0" w:firstRowLastColumn="0" w:lastRowFirstColumn="0" w:lastRowLastColumn="0"/>
            </w:pPr>
            <w:r>
              <w:rPr>
                <w:sz w:val="18"/>
              </w:rPr>
              <w:t>1000</w:t>
            </w:r>
          </w:p>
        </w:tc>
      </w:tr>
      <w:tr w:rsidR="000E6725" w:rsidTr="00E205C5">
        <w:tc>
          <w:tcPr>
            <w:cnfStyle w:val="001000000000" w:firstRow="0" w:lastRow="0" w:firstColumn="1" w:lastColumn="0" w:oddVBand="0" w:evenVBand="0" w:oddHBand="0" w:evenHBand="0" w:firstRowFirstColumn="0" w:firstRowLastColumn="0" w:lastRowFirstColumn="0" w:lastRowLastColumn="0"/>
            <w:tcW w:w="2160" w:type="dxa"/>
          </w:tcPr>
          <w:p w:rsidR="000E6725" w:rsidRDefault="004B7759">
            <w:pPr>
              <w:spacing w:before="40" w:after="40" w:line="252" w:lineRule="auto"/>
              <w:jc w:val="left"/>
            </w:pPr>
            <w:r>
              <w:rPr>
                <w:sz w:val="18"/>
              </w:rPr>
              <w:t>IKZF1</w:t>
            </w:r>
          </w:p>
        </w:tc>
        <w:tc>
          <w:tcPr>
            <w:tcW w:w="1728" w:type="dxa"/>
          </w:tcPr>
          <w:p w:rsidR="000E6725" w:rsidRDefault="004B7759">
            <w:pPr>
              <w:spacing w:before="40" w:after="40" w:line="252" w:lineRule="auto"/>
              <w:jc w:val="center"/>
              <w:cnfStyle w:val="000000000000" w:firstRow="0" w:lastRow="0" w:firstColumn="0" w:lastColumn="0" w:oddVBand="0" w:evenVBand="0" w:oddHBand="0" w:evenHBand="0" w:firstRowFirstColumn="0" w:firstRowLastColumn="0" w:lastRowFirstColumn="0" w:lastRowLastColumn="0"/>
            </w:pPr>
            <w:r>
              <w:rPr>
                <w:sz w:val="18"/>
              </w:rPr>
              <w:t>145</w:t>
            </w:r>
          </w:p>
        </w:tc>
        <w:tc>
          <w:tcPr>
            <w:tcW w:w="1728" w:type="dxa"/>
          </w:tcPr>
          <w:p w:rsidR="000E6725" w:rsidRDefault="004B7759">
            <w:pPr>
              <w:spacing w:before="40" w:after="40" w:line="252" w:lineRule="auto"/>
              <w:jc w:val="center"/>
              <w:cnfStyle w:val="000000000000" w:firstRow="0" w:lastRow="0" w:firstColumn="0" w:lastColumn="0" w:oddVBand="0" w:evenVBand="0" w:oddHBand="0" w:evenHBand="0" w:firstRowFirstColumn="0" w:firstRowLastColumn="0" w:lastRowFirstColumn="0" w:lastRowLastColumn="0"/>
            </w:pPr>
            <w:r>
              <w:rPr>
                <w:sz w:val="18"/>
              </w:rPr>
              <w:t>156</w:t>
            </w:r>
          </w:p>
        </w:tc>
        <w:tc>
          <w:tcPr>
            <w:tcW w:w="1872" w:type="dxa"/>
          </w:tcPr>
          <w:p w:rsidR="000E6725" w:rsidRDefault="004B7759">
            <w:pPr>
              <w:spacing w:before="40" w:after="40" w:line="252" w:lineRule="auto"/>
              <w:jc w:val="center"/>
              <w:cnfStyle w:val="000000000000" w:firstRow="0" w:lastRow="0" w:firstColumn="0" w:lastColumn="0" w:oddVBand="0" w:evenVBand="0" w:oddHBand="0" w:evenHBand="0" w:firstRowFirstColumn="0" w:firstRowLastColumn="0" w:lastRowFirstColumn="0" w:lastRowLastColumn="0"/>
            </w:pPr>
            <w:r>
              <w:rPr>
                <w:sz w:val="18"/>
              </w:rPr>
              <w:t>445.7</w:t>
            </w:r>
          </w:p>
        </w:tc>
        <w:tc>
          <w:tcPr>
            <w:tcW w:w="1728" w:type="dxa"/>
          </w:tcPr>
          <w:p w:rsidR="000E6725" w:rsidRDefault="004B7759">
            <w:pPr>
              <w:spacing w:before="40" w:after="40" w:line="252" w:lineRule="auto"/>
              <w:jc w:val="center"/>
              <w:cnfStyle w:val="000000000000" w:firstRow="0" w:lastRow="0" w:firstColumn="0" w:lastColumn="0" w:oddVBand="0" w:evenVBand="0" w:oddHBand="0" w:evenHBand="0" w:firstRowFirstColumn="0" w:firstRowLastColumn="0" w:lastRowFirstColumn="0" w:lastRowLastColumn="0"/>
            </w:pPr>
            <w:r>
              <w:rPr>
                <w:sz w:val="18"/>
              </w:rPr>
              <w:t>1000</w:t>
            </w:r>
          </w:p>
        </w:tc>
      </w:tr>
      <w:tr w:rsidR="000E6725" w:rsidTr="00E205C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rsidR="000E6725" w:rsidRDefault="004B7759">
            <w:pPr>
              <w:spacing w:before="40" w:after="40" w:line="252" w:lineRule="auto"/>
              <w:jc w:val="left"/>
            </w:pPr>
            <w:r>
              <w:rPr>
                <w:sz w:val="18"/>
              </w:rPr>
              <w:t>SP1</w:t>
            </w:r>
          </w:p>
        </w:tc>
        <w:tc>
          <w:tcPr>
            <w:tcW w:w="1728" w:type="dxa"/>
          </w:tcPr>
          <w:p w:rsidR="000E6725" w:rsidRDefault="004B7759">
            <w:pPr>
              <w:spacing w:before="40" w:after="40" w:line="252" w:lineRule="auto"/>
              <w:jc w:val="center"/>
              <w:cnfStyle w:val="000000100000" w:firstRow="0" w:lastRow="0" w:firstColumn="0" w:lastColumn="0" w:oddVBand="0" w:evenVBand="0" w:oddHBand="1" w:evenHBand="0" w:firstRowFirstColumn="0" w:firstRowLastColumn="0" w:lastRowFirstColumn="0" w:lastRowLastColumn="0"/>
            </w:pPr>
            <w:r>
              <w:rPr>
                <w:sz w:val="18"/>
              </w:rPr>
              <w:t>142</w:t>
            </w:r>
          </w:p>
        </w:tc>
        <w:tc>
          <w:tcPr>
            <w:tcW w:w="1728" w:type="dxa"/>
          </w:tcPr>
          <w:p w:rsidR="000E6725" w:rsidRDefault="004B7759">
            <w:pPr>
              <w:spacing w:before="40" w:after="40" w:line="252" w:lineRule="auto"/>
              <w:jc w:val="center"/>
              <w:cnfStyle w:val="000000100000" w:firstRow="0" w:lastRow="0" w:firstColumn="0" w:lastColumn="0" w:oddVBand="0" w:evenVBand="0" w:oddHBand="1" w:evenHBand="0" w:firstRowFirstColumn="0" w:firstRowLastColumn="0" w:lastRowFirstColumn="0" w:lastRowLastColumn="0"/>
            </w:pPr>
            <w:r>
              <w:rPr>
                <w:sz w:val="18"/>
              </w:rPr>
              <w:t>149</w:t>
            </w:r>
          </w:p>
        </w:tc>
        <w:tc>
          <w:tcPr>
            <w:tcW w:w="1872" w:type="dxa"/>
          </w:tcPr>
          <w:p w:rsidR="000E6725" w:rsidRDefault="004B7759">
            <w:pPr>
              <w:spacing w:before="40" w:after="40" w:line="252" w:lineRule="auto"/>
              <w:jc w:val="center"/>
              <w:cnfStyle w:val="000000100000" w:firstRow="0" w:lastRow="0" w:firstColumn="0" w:lastColumn="0" w:oddVBand="0" w:evenVBand="0" w:oddHBand="1" w:evenHBand="0" w:firstRowFirstColumn="0" w:firstRowLastColumn="0" w:lastRowFirstColumn="0" w:lastRowLastColumn="0"/>
            </w:pPr>
            <w:r>
              <w:rPr>
                <w:sz w:val="18"/>
              </w:rPr>
              <w:t>545.1</w:t>
            </w:r>
          </w:p>
        </w:tc>
        <w:tc>
          <w:tcPr>
            <w:tcW w:w="1728" w:type="dxa"/>
          </w:tcPr>
          <w:p w:rsidR="000E6725" w:rsidRDefault="004B7759">
            <w:pPr>
              <w:spacing w:before="40" w:after="40" w:line="252" w:lineRule="auto"/>
              <w:jc w:val="center"/>
              <w:cnfStyle w:val="000000100000" w:firstRow="0" w:lastRow="0" w:firstColumn="0" w:lastColumn="0" w:oddVBand="0" w:evenVBand="0" w:oddHBand="1" w:evenHBand="0" w:firstRowFirstColumn="0" w:firstRowLastColumn="0" w:lastRowFirstColumn="0" w:lastRowLastColumn="0"/>
            </w:pPr>
            <w:r>
              <w:rPr>
                <w:sz w:val="18"/>
              </w:rPr>
              <w:t>1000</w:t>
            </w:r>
          </w:p>
        </w:tc>
      </w:tr>
      <w:tr w:rsidR="000E6725" w:rsidTr="00E205C5">
        <w:tc>
          <w:tcPr>
            <w:cnfStyle w:val="001000000000" w:firstRow="0" w:lastRow="0" w:firstColumn="1" w:lastColumn="0" w:oddVBand="0" w:evenVBand="0" w:oddHBand="0" w:evenHBand="0" w:firstRowFirstColumn="0" w:firstRowLastColumn="0" w:lastRowFirstColumn="0" w:lastRowLastColumn="0"/>
            <w:tcW w:w="2160" w:type="dxa"/>
          </w:tcPr>
          <w:p w:rsidR="000E6725" w:rsidRDefault="004B7759">
            <w:pPr>
              <w:spacing w:before="40" w:after="40" w:line="252" w:lineRule="auto"/>
              <w:jc w:val="left"/>
            </w:pPr>
            <w:r>
              <w:rPr>
                <w:sz w:val="18"/>
              </w:rPr>
              <w:t>REST</w:t>
            </w:r>
          </w:p>
        </w:tc>
        <w:tc>
          <w:tcPr>
            <w:tcW w:w="1728" w:type="dxa"/>
          </w:tcPr>
          <w:p w:rsidR="000E6725" w:rsidRDefault="004B7759">
            <w:pPr>
              <w:spacing w:before="40" w:after="40" w:line="252" w:lineRule="auto"/>
              <w:jc w:val="center"/>
              <w:cnfStyle w:val="000000000000" w:firstRow="0" w:lastRow="0" w:firstColumn="0" w:lastColumn="0" w:oddVBand="0" w:evenVBand="0" w:oddHBand="0" w:evenHBand="0" w:firstRowFirstColumn="0" w:firstRowLastColumn="0" w:lastRowFirstColumn="0" w:lastRowLastColumn="0"/>
            </w:pPr>
            <w:r>
              <w:rPr>
                <w:sz w:val="18"/>
              </w:rPr>
              <w:t>142</w:t>
            </w:r>
          </w:p>
        </w:tc>
        <w:tc>
          <w:tcPr>
            <w:tcW w:w="1728" w:type="dxa"/>
          </w:tcPr>
          <w:p w:rsidR="000E6725" w:rsidRDefault="004B7759">
            <w:pPr>
              <w:spacing w:before="40" w:after="40" w:line="252" w:lineRule="auto"/>
              <w:jc w:val="center"/>
              <w:cnfStyle w:val="000000000000" w:firstRow="0" w:lastRow="0" w:firstColumn="0" w:lastColumn="0" w:oddVBand="0" w:evenVBand="0" w:oddHBand="0" w:evenHBand="0" w:firstRowFirstColumn="0" w:firstRowLastColumn="0" w:lastRowFirstColumn="0" w:lastRowLastColumn="0"/>
            </w:pPr>
            <w:r>
              <w:rPr>
                <w:sz w:val="18"/>
              </w:rPr>
              <w:t>149</w:t>
            </w:r>
          </w:p>
        </w:tc>
        <w:tc>
          <w:tcPr>
            <w:tcW w:w="1872" w:type="dxa"/>
          </w:tcPr>
          <w:p w:rsidR="000E6725" w:rsidRDefault="004B7759">
            <w:pPr>
              <w:spacing w:before="40" w:after="40" w:line="252" w:lineRule="auto"/>
              <w:jc w:val="center"/>
              <w:cnfStyle w:val="000000000000" w:firstRow="0" w:lastRow="0" w:firstColumn="0" w:lastColumn="0" w:oddVBand="0" w:evenVBand="0" w:oddHBand="0" w:evenHBand="0" w:firstRowFirstColumn="0" w:firstRowLastColumn="0" w:lastRowFirstColumn="0" w:lastRowLastColumn="0"/>
            </w:pPr>
            <w:r>
              <w:rPr>
                <w:sz w:val="18"/>
              </w:rPr>
              <w:t>323.9</w:t>
            </w:r>
          </w:p>
        </w:tc>
        <w:tc>
          <w:tcPr>
            <w:tcW w:w="1728" w:type="dxa"/>
          </w:tcPr>
          <w:p w:rsidR="000E6725" w:rsidRDefault="004B7759">
            <w:pPr>
              <w:spacing w:before="40" w:after="40" w:line="252" w:lineRule="auto"/>
              <w:jc w:val="center"/>
              <w:cnfStyle w:val="000000000000" w:firstRow="0" w:lastRow="0" w:firstColumn="0" w:lastColumn="0" w:oddVBand="0" w:evenVBand="0" w:oddHBand="0" w:evenHBand="0" w:firstRowFirstColumn="0" w:firstRowLastColumn="0" w:lastRowFirstColumn="0" w:lastRowLastColumn="0"/>
            </w:pPr>
            <w:r>
              <w:rPr>
                <w:sz w:val="18"/>
              </w:rPr>
              <w:t>1000</w:t>
            </w:r>
          </w:p>
        </w:tc>
      </w:tr>
      <w:tr w:rsidR="000E6725" w:rsidTr="00E205C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rsidR="000E6725" w:rsidRDefault="004B7759">
            <w:pPr>
              <w:spacing w:before="40" w:after="40" w:line="252" w:lineRule="auto"/>
              <w:jc w:val="left"/>
            </w:pPr>
            <w:r>
              <w:rPr>
                <w:sz w:val="18"/>
              </w:rPr>
              <w:t>MYC</w:t>
            </w:r>
          </w:p>
        </w:tc>
        <w:tc>
          <w:tcPr>
            <w:tcW w:w="1728" w:type="dxa"/>
          </w:tcPr>
          <w:p w:rsidR="000E6725" w:rsidRDefault="004B7759">
            <w:pPr>
              <w:spacing w:before="40" w:after="40" w:line="252" w:lineRule="auto"/>
              <w:jc w:val="center"/>
              <w:cnfStyle w:val="000000100000" w:firstRow="0" w:lastRow="0" w:firstColumn="0" w:lastColumn="0" w:oddVBand="0" w:evenVBand="0" w:oddHBand="1" w:evenHBand="0" w:firstRowFirstColumn="0" w:firstRowLastColumn="0" w:lastRowFirstColumn="0" w:lastRowLastColumn="0"/>
            </w:pPr>
            <w:r>
              <w:rPr>
                <w:sz w:val="18"/>
              </w:rPr>
              <w:t>139</w:t>
            </w:r>
          </w:p>
        </w:tc>
        <w:tc>
          <w:tcPr>
            <w:tcW w:w="1728" w:type="dxa"/>
          </w:tcPr>
          <w:p w:rsidR="000E6725" w:rsidRDefault="004B7759">
            <w:pPr>
              <w:spacing w:before="40" w:after="40" w:line="252" w:lineRule="auto"/>
              <w:jc w:val="center"/>
              <w:cnfStyle w:val="000000100000" w:firstRow="0" w:lastRow="0" w:firstColumn="0" w:lastColumn="0" w:oddVBand="0" w:evenVBand="0" w:oddHBand="1" w:evenHBand="0" w:firstRowFirstColumn="0" w:firstRowLastColumn="0" w:lastRowFirstColumn="0" w:lastRowLastColumn="0"/>
            </w:pPr>
            <w:r>
              <w:rPr>
                <w:sz w:val="18"/>
              </w:rPr>
              <w:t>151</w:t>
            </w:r>
          </w:p>
        </w:tc>
        <w:tc>
          <w:tcPr>
            <w:tcW w:w="1872" w:type="dxa"/>
          </w:tcPr>
          <w:p w:rsidR="000E6725" w:rsidRDefault="004B7759">
            <w:pPr>
              <w:spacing w:before="40" w:after="40" w:line="252" w:lineRule="auto"/>
              <w:jc w:val="center"/>
              <w:cnfStyle w:val="000000100000" w:firstRow="0" w:lastRow="0" w:firstColumn="0" w:lastColumn="0" w:oddVBand="0" w:evenVBand="0" w:oddHBand="1" w:evenHBand="0" w:firstRowFirstColumn="0" w:firstRowLastColumn="0" w:lastRowFirstColumn="0" w:lastRowLastColumn="0"/>
            </w:pPr>
            <w:r>
              <w:rPr>
                <w:sz w:val="18"/>
              </w:rPr>
              <w:t>559.1</w:t>
            </w:r>
          </w:p>
        </w:tc>
        <w:tc>
          <w:tcPr>
            <w:tcW w:w="1728" w:type="dxa"/>
          </w:tcPr>
          <w:p w:rsidR="000E6725" w:rsidRDefault="004B7759">
            <w:pPr>
              <w:spacing w:before="40" w:after="40" w:line="252" w:lineRule="auto"/>
              <w:jc w:val="center"/>
              <w:cnfStyle w:val="000000100000" w:firstRow="0" w:lastRow="0" w:firstColumn="0" w:lastColumn="0" w:oddVBand="0" w:evenVBand="0" w:oddHBand="1" w:evenHBand="0" w:firstRowFirstColumn="0" w:firstRowLastColumn="0" w:lastRowFirstColumn="0" w:lastRowLastColumn="0"/>
            </w:pPr>
            <w:r>
              <w:rPr>
                <w:sz w:val="18"/>
              </w:rPr>
              <w:t>1000</w:t>
            </w:r>
          </w:p>
        </w:tc>
      </w:tr>
      <w:tr w:rsidR="000E6725" w:rsidTr="00E205C5">
        <w:tc>
          <w:tcPr>
            <w:cnfStyle w:val="001000000000" w:firstRow="0" w:lastRow="0" w:firstColumn="1" w:lastColumn="0" w:oddVBand="0" w:evenVBand="0" w:oddHBand="0" w:evenHBand="0" w:firstRowFirstColumn="0" w:firstRowLastColumn="0" w:lastRowFirstColumn="0" w:lastRowLastColumn="0"/>
            <w:tcW w:w="2160" w:type="dxa"/>
          </w:tcPr>
          <w:p w:rsidR="000E6725" w:rsidRDefault="004B7759">
            <w:pPr>
              <w:spacing w:before="40" w:after="40" w:line="252" w:lineRule="auto"/>
              <w:jc w:val="left"/>
            </w:pPr>
            <w:r>
              <w:rPr>
                <w:sz w:val="18"/>
              </w:rPr>
              <w:t>FOS</w:t>
            </w:r>
          </w:p>
        </w:tc>
        <w:tc>
          <w:tcPr>
            <w:tcW w:w="1728" w:type="dxa"/>
          </w:tcPr>
          <w:p w:rsidR="000E6725" w:rsidRDefault="004B7759">
            <w:pPr>
              <w:spacing w:before="40" w:after="40" w:line="252" w:lineRule="auto"/>
              <w:jc w:val="center"/>
              <w:cnfStyle w:val="000000000000" w:firstRow="0" w:lastRow="0" w:firstColumn="0" w:lastColumn="0" w:oddVBand="0" w:evenVBand="0" w:oddHBand="0" w:evenHBand="0" w:firstRowFirstColumn="0" w:firstRowLastColumn="0" w:lastRowFirstColumn="0" w:lastRowLastColumn="0"/>
            </w:pPr>
            <w:r>
              <w:rPr>
                <w:sz w:val="18"/>
              </w:rPr>
              <w:t>137</w:t>
            </w:r>
          </w:p>
        </w:tc>
        <w:tc>
          <w:tcPr>
            <w:tcW w:w="1728" w:type="dxa"/>
          </w:tcPr>
          <w:p w:rsidR="000E6725" w:rsidRDefault="004B7759">
            <w:pPr>
              <w:spacing w:before="40" w:after="40" w:line="252" w:lineRule="auto"/>
              <w:jc w:val="center"/>
              <w:cnfStyle w:val="000000000000" w:firstRow="0" w:lastRow="0" w:firstColumn="0" w:lastColumn="0" w:oddVBand="0" w:evenVBand="0" w:oddHBand="0" w:evenHBand="0" w:firstRowFirstColumn="0" w:firstRowLastColumn="0" w:lastRowFirstColumn="0" w:lastRowLastColumn="0"/>
            </w:pPr>
            <w:r>
              <w:rPr>
                <w:sz w:val="18"/>
              </w:rPr>
              <w:t>142</w:t>
            </w:r>
          </w:p>
        </w:tc>
        <w:tc>
          <w:tcPr>
            <w:tcW w:w="1872" w:type="dxa"/>
          </w:tcPr>
          <w:p w:rsidR="000E6725" w:rsidRDefault="004B7759">
            <w:pPr>
              <w:spacing w:before="40" w:after="40" w:line="252" w:lineRule="auto"/>
              <w:jc w:val="center"/>
              <w:cnfStyle w:val="000000000000" w:firstRow="0" w:lastRow="0" w:firstColumn="0" w:lastColumn="0" w:oddVBand="0" w:evenVBand="0" w:oddHBand="0" w:evenHBand="0" w:firstRowFirstColumn="0" w:firstRowLastColumn="0" w:lastRowFirstColumn="0" w:lastRowLastColumn="0"/>
            </w:pPr>
            <w:r>
              <w:rPr>
                <w:sz w:val="18"/>
              </w:rPr>
              <w:t>553.4</w:t>
            </w:r>
          </w:p>
        </w:tc>
        <w:tc>
          <w:tcPr>
            <w:tcW w:w="1728" w:type="dxa"/>
          </w:tcPr>
          <w:p w:rsidR="000E6725" w:rsidRDefault="004B7759">
            <w:pPr>
              <w:spacing w:before="40" w:after="40" w:line="252" w:lineRule="auto"/>
              <w:jc w:val="center"/>
              <w:cnfStyle w:val="000000000000" w:firstRow="0" w:lastRow="0" w:firstColumn="0" w:lastColumn="0" w:oddVBand="0" w:evenVBand="0" w:oddHBand="0" w:evenHBand="0" w:firstRowFirstColumn="0" w:firstRowLastColumn="0" w:lastRowFirstColumn="0" w:lastRowLastColumn="0"/>
            </w:pPr>
            <w:r>
              <w:rPr>
                <w:sz w:val="18"/>
              </w:rPr>
              <w:t>1000</w:t>
            </w:r>
          </w:p>
        </w:tc>
      </w:tr>
      <w:tr w:rsidR="000E6725" w:rsidTr="00E205C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rsidR="000E6725" w:rsidRDefault="004B7759">
            <w:pPr>
              <w:spacing w:before="40" w:after="40" w:line="252" w:lineRule="auto"/>
              <w:jc w:val="left"/>
            </w:pPr>
            <w:r>
              <w:rPr>
                <w:sz w:val="18"/>
              </w:rPr>
              <w:t>MAX</w:t>
            </w:r>
          </w:p>
        </w:tc>
        <w:tc>
          <w:tcPr>
            <w:tcW w:w="1728" w:type="dxa"/>
          </w:tcPr>
          <w:p w:rsidR="000E6725" w:rsidRDefault="004B7759">
            <w:pPr>
              <w:spacing w:before="40" w:after="40" w:line="252" w:lineRule="auto"/>
              <w:jc w:val="center"/>
              <w:cnfStyle w:val="000000100000" w:firstRow="0" w:lastRow="0" w:firstColumn="0" w:lastColumn="0" w:oddVBand="0" w:evenVBand="0" w:oddHBand="1" w:evenHBand="0" w:firstRowFirstColumn="0" w:firstRowLastColumn="0" w:lastRowFirstColumn="0" w:lastRowLastColumn="0"/>
            </w:pPr>
            <w:r>
              <w:rPr>
                <w:sz w:val="18"/>
              </w:rPr>
              <w:t>125</w:t>
            </w:r>
          </w:p>
        </w:tc>
        <w:tc>
          <w:tcPr>
            <w:tcW w:w="1728" w:type="dxa"/>
          </w:tcPr>
          <w:p w:rsidR="000E6725" w:rsidRDefault="004B7759">
            <w:pPr>
              <w:spacing w:before="40" w:after="40" w:line="252" w:lineRule="auto"/>
              <w:jc w:val="center"/>
              <w:cnfStyle w:val="000000100000" w:firstRow="0" w:lastRow="0" w:firstColumn="0" w:lastColumn="0" w:oddVBand="0" w:evenVBand="0" w:oddHBand="1" w:evenHBand="0" w:firstRowFirstColumn="0" w:firstRowLastColumn="0" w:lastRowFirstColumn="0" w:lastRowLastColumn="0"/>
            </w:pPr>
            <w:r>
              <w:rPr>
                <w:sz w:val="18"/>
              </w:rPr>
              <w:t>138</w:t>
            </w:r>
          </w:p>
        </w:tc>
        <w:tc>
          <w:tcPr>
            <w:tcW w:w="1872" w:type="dxa"/>
          </w:tcPr>
          <w:p w:rsidR="000E6725" w:rsidRDefault="004B7759">
            <w:pPr>
              <w:spacing w:before="40" w:after="40" w:line="252" w:lineRule="auto"/>
              <w:jc w:val="center"/>
              <w:cnfStyle w:val="000000100000" w:firstRow="0" w:lastRow="0" w:firstColumn="0" w:lastColumn="0" w:oddVBand="0" w:evenVBand="0" w:oddHBand="1" w:evenHBand="0" w:firstRowFirstColumn="0" w:firstRowLastColumn="0" w:lastRowFirstColumn="0" w:lastRowLastColumn="0"/>
            </w:pPr>
            <w:r>
              <w:rPr>
                <w:sz w:val="18"/>
              </w:rPr>
              <w:t>570.8</w:t>
            </w:r>
          </w:p>
        </w:tc>
        <w:tc>
          <w:tcPr>
            <w:tcW w:w="1728" w:type="dxa"/>
          </w:tcPr>
          <w:p w:rsidR="000E6725" w:rsidRDefault="004B7759">
            <w:pPr>
              <w:spacing w:before="40" w:after="40" w:line="252" w:lineRule="auto"/>
              <w:jc w:val="center"/>
              <w:cnfStyle w:val="000000100000" w:firstRow="0" w:lastRow="0" w:firstColumn="0" w:lastColumn="0" w:oddVBand="0" w:evenVBand="0" w:oddHBand="1" w:evenHBand="0" w:firstRowFirstColumn="0" w:firstRowLastColumn="0" w:lastRowFirstColumn="0" w:lastRowLastColumn="0"/>
            </w:pPr>
            <w:r>
              <w:rPr>
                <w:sz w:val="18"/>
              </w:rPr>
              <w:t>1000</w:t>
            </w:r>
          </w:p>
        </w:tc>
      </w:tr>
      <w:tr w:rsidR="000E6725" w:rsidTr="00E205C5">
        <w:tc>
          <w:tcPr>
            <w:cnfStyle w:val="001000000000" w:firstRow="0" w:lastRow="0" w:firstColumn="1" w:lastColumn="0" w:oddVBand="0" w:evenVBand="0" w:oddHBand="0" w:evenHBand="0" w:firstRowFirstColumn="0" w:firstRowLastColumn="0" w:lastRowFirstColumn="0" w:lastRowLastColumn="0"/>
            <w:tcW w:w="2160" w:type="dxa"/>
          </w:tcPr>
          <w:p w:rsidR="000E6725" w:rsidRDefault="004B7759">
            <w:pPr>
              <w:spacing w:before="40" w:after="40" w:line="252" w:lineRule="auto"/>
              <w:jc w:val="left"/>
            </w:pPr>
            <w:r>
              <w:rPr>
                <w:sz w:val="18"/>
              </w:rPr>
              <w:t>YY1</w:t>
            </w:r>
          </w:p>
        </w:tc>
        <w:tc>
          <w:tcPr>
            <w:tcW w:w="1728" w:type="dxa"/>
          </w:tcPr>
          <w:p w:rsidR="000E6725" w:rsidRDefault="004B7759">
            <w:pPr>
              <w:spacing w:before="40" w:after="40" w:line="252" w:lineRule="auto"/>
              <w:jc w:val="center"/>
              <w:cnfStyle w:val="000000000000" w:firstRow="0" w:lastRow="0" w:firstColumn="0" w:lastColumn="0" w:oddVBand="0" w:evenVBand="0" w:oddHBand="0" w:evenHBand="0" w:firstRowFirstColumn="0" w:firstRowLastColumn="0" w:lastRowFirstColumn="0" w:lastRowLastColumn="0"/>
            </w:pPr>
            <w:r>
              <w:rPr>
                <w:sz w:val="18"/>
              </w:rPr>
              <w:t>123</w:t>
            </w:r>
          </w:p>
        </w:tc>
        <w:tc>
          <w:tcPr>
            <w:tcW w:w="1728" w:type="dxa"/>
          </w:tcPr>
          <w:p w:rsidR="000E6725" w:rsidRDefault="004B7759">
            <w:pPr>
              <w:spacing w:before="40" w:after="40" w:line="252" w:lineRule="auto"/>
              <w:jc w:val="center"/>
              <w:cnfStyle w:val="000000000000" w:firstRow="0" w:lastRow="0" w:firstColumn="0" w:lastColumn="0" w:oddVBand="0" w:evenVBand="0" w:oddHBand="0" w:evenHBand="0" w:firstRowFirstColumn="0" w:firstRowLastColumn="0" w:lastRowFirstColumn="0" w:lastRowLastColumn="0"/>
            </w:pPr>
            <w:r>
              <w:rPr>
                <w:sz w:val="18"/>
              </w:rPr>
              <w:t>128</w:t>
            </w:r>
          </w:p>
        </w:tc>
        <w:tc>
          <w:tcPr>
            <w:tcW w:w="1872" w:type="dxa"/>
          </w:tcPr>
          <w:p w:rsidR="000E6725" w:rsidRDefault="004B7759">
            <w:pPr>
              <w:spacing w:before="40" w:after="40" w:line="252" w:lineRule="auto"/>
              <w:jc w:val="center"/>
              <w:cnfStyle w:val="000000000000" w:firstRow="0" w:lastRow="0" w:firstColumn="0" w:lastColumn="0" w:oddVBand="0" w:evenVBand="0" w:oddHBand="0" w:evenHBand="0" w:firstRowFirstColumn="0" w:firstRowLastColumn="0" w:lastRowFirstColumn="0" w:lastRowLastColumn="0"/>
            </w:pPr>
            <w:r>
              <w:rPr>
                <w:sz w:val="18"/>
              </w:rPr>
              <w:t>470.5</w:t>
            </w:r>
          </w:p>
        </w:tc>
        <w:tc>
          <w:tcPr>
            <w:tcW w:w="1728" w:type="dxa"/>
          </w:tcPr>
          <w:p w:rsidR="000E6725" w:rsidRDefault="004B7759">
            <w:pPr>
              <w:spacing w:before="40" w:after="40" w:line="252" w:lineRule="auto"/>
              <w:jc w:val="center"/>
              <w:cnfStyle w:val="000000000000" w:firstRow="0" w:lastRow="0" w:firstColumn="0" w:lastColumn="0" w:oddVBand="0" w:evenVBand="0" w:oddHBand="0" w:evenHBand="0" w:firstRowFirstColumn="0" w:firstRowLastColumn="0" w:lastRowFirstColumn="0" w:lastRowLastColumn="0"/>
            </w:pPr>
            <w:r>
              <w:rPr>
                <w:sz w:val="18"/>
              </w:rPr>
              <w:t>1000</w:t>
            </w:r>
          </w:p>
        </w:tc>
      </w:tr>
    </w:tbl>
    <w:p w:rsidR="000E6725" w:rsidRDefault="004B7759">
      <w:pPr>
        <w:spacing w:before="60" w:after="200" w:line="252" w:lineRule="auto"/>
      </w:pPr>
      <w:r>
        <w:rPr>
          <w:i/>
          <w:sz w:val="19"/>
        </w:rPr>
        <w:t>Note: Top 12 transcription factors ranked by target enhancer occupancy shown. Complete 20-TF cohort provided in Supplementary Table 2.</w:t>
      </w:r>
    </w:p>
    <w:p w:rsidR="000E6725" w:rsidRDefault="004B7759">
      <w:pPr>
        <w:keepNext/>
        <w:spacing w:before="240" w:after="60"/>
        <w:jc w:val="left"/>
      </w:pPr>
      <w:r>
        <w:rPr>
          <w:b/>
          <w:sz w:val="25"/>
        </w:rPr>
        <w:t xml:space="preserve">3.3 Functional </w:t>
      </w:r>
      <w:proofErr w:type="spellStart"/>
      <w:r>
        <w:rPr>
          <w:b/>
          <w:sz w:val="25"/>
        </w:rPr>
        <w:t>CRISPRi</w:t>
      </w:r>
      <w:proofErr w:type="spellEnd"/>
      <w:r>
        <w:rPr>
          <w:b/>
          <w:sz w:val="25"/>
        </w:rPr>
        <w:t xml:space="preserve"> Transcriptional Response Dynamics</w:t>
      </w:r>
    </w:p>
    <w:p w:rsidR="000E6725" w:rsidRDefault="004B7759">
      <w:r>
        <w:rPr>
          <w:sz w:val="22"/>
        </w:rPr>
        <w:t>Vectorized two-sample Welch t-testing of enhancer-targeting sgRNAs against negative controls (as detailed in Section 2.3) identified 1,110,566 candidate interventional edges across 819 targeted super-enhancers and 32,799 target genes. Effect size distribution revealed marked bidirectional transcriptional responses following enhancer silencing (Figure 3a). Differential response volcano profiling (|log2 FC| ≥ 0.25, |t| ≥ 2.5) highlighted thousands of statistically significant regulatory responses (Figure 3b), establishing that distal enhancer perturbations propagate profound transcriptional alterations across the TNBC genome.</w:t>
      </w:r>
    </w:p>
    <w:p w:rsidR="000E6725" w:rsidRDefault="004B7759">
      <w:pPr>
        <w:keepNext/>
        <w:spacing w:before="120" w:after="80"/>
        <w:jc w:val="center"/>
      </w:pPr>
      <w:r>
        <w:rPr>
          <w:noProof/>
        </w:rPr>
        <w:lastRenderedPageBreak/>
        <w:drawing>
          <wp:inline distT="0" distB="0" distL="0" distR="0">
            <wp:extent cx="5669280" cy="2785284"/>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_3_Enhancer_Perturbation_Responses.png"/>
                    <pic:cNvPicPr/>
                  </pic:nvPicPr>
                  <pic:blipFill>
                    <a:blip r:embed="rId8"/>
                    <a:stretch>
                      <a:fillRect/>
                    </a:stretch>
                  </pic:blipFill>
                  <pic:spPr>
                    <a:xfrm>
                      <a:off x="0" y="0"/>
                      <a:ext cx="5669280" cy="2785284"/>
                    </a:xfrm>
                    <a:prstGeom prst="rect">
                      <a:avLst/>
                    </a:prstGeom>
                  </pic:spPr>
                </pic:pic>
              </a:graphicData>
            </a:graphic>
          </wp:inline>
        </w:drawing>
      </w:r>
    </w:p>
    <w:p w:rsidR="000E6725" w:rsidRDefault="004B7759">
      <w:pPr>
        <w:spacing w:before="60" w:after="240"/>
      </w:pPr>
      <w:r>
        <w:rPr>
          <w:b/>
          <w:sz w:val="20"/>
        </w:rPr>
        <w:t xml:space="preserve">Figure </w:t>
      </w:r>
      <w:proofErr w:type="gramStart"/>
      <w:r>
        <w:rPr>
          <w:b/>
          <w:sz w:val="20"/>
        </w:rPr>
        <w:t>3</w:t>
      </w:r>
      <w:proofErr w:type="gramEnd"/>
      <w:r>
        <w:rPr>
          <w:b/>
          <w:sz w:val="20"/>
        </w:rPr>
        <w:t xml:space="preserve"> | Functional enhancer perturbation response landscape in single-cell </w:t>
      </w:r>
      <w:proofErr w:type="spellStart"/>
      <w:r>
        <w:rPr>
          <w:b/>
          <w:sz w:val="20"/>
        </w:rPr>
        <w:t>CRISPRi</w:t>
      </w:r>
      <w:proofErr w:type="spellEnd"/>
      <w:r>
        <w:rPr>
          <w:b/>
          <w:sz w:val="20"/>
        </w:rPr>
        <w:t xml:space="preserve">. </w:t>
      </w:r>
      <w:r>
        <w:rPr>
          <w:sz w:val="20"/>
        </w:rPr>
        <w:t xml:space="preserve">a, Distribution of differential expression effect sizes (log2 fold change) of downstream genes following single-guide </w:t>
      </w:r>
      <w:proofErr w:type="spellStart"/>
      <w:r>
        <w:rPr>
          <w:sz w:val="20"/>
        </w:rPr>
        <w:t>CRISPRi</w:t>
      </w:r>
      <w:proofErr w:type="spellEnd"/>
      <w:r>
        <w:rPr>
          <w:sz w:val="20"/>
        </w:rPr>
        <w:t xml:space="preserve"> perturbation of targeted enhancers, demonstrating significant bidirectional transcriptional modulation. </w:t>
      </w:r>
      <w:proofErr w:type="gramStart"/>
      <w:r>
        <w:rPr>
          <w:sz w:val="20"/>
        </w:rPr>
        <w:t>b</w:t>
      </w:r>
      <w:proofErr w:type="gramEnd"/>
      <w:r>
        <w:rPr>
          <w:sz w:val="20"/>
        </w:rPr>
        <w:t>, Volcano landscape of enhancer-to-gene perturbation responses, plotting log2 fold change against statistical significance (-log10 p-value). Significant functional causal responses (|log2 FC| &gt;= 0.25, |t-stat| &gt;= 2.5) are highlighted in teal (downregulated) and coral (upregulated).</w:t>
      </w:r>
    </w:p>
    <w:p w:rsidR="000E6725" w:rsidRDefault="004B7759">
      <w:pPr>
        <w:keepNext/>
        <w:spacing w:before="240" w:after="60"/>
        <w:jc w:val="left"/>
      </w:pPr>
      <w:r>
        <w:rPr>
          <w:b/>
          <w:sz w:val="25"/>
        </w:rPr>
        <w:t>3.4 Reconstruction of the Triangulated Causal Tripartite Network</w:t>
      </w:r>
    </w:p>
    <w:p w:rsidR="000E6725" w:rsidRDefault="004B7759">
      <w:r>
        <w:rPr>
          <w:sz w:val="22"/>
        </w:rPr>
        <w:t>Evaluating the evidence integration rule across all shared regulatory loci reconstructed a comprehensive tripartite network encompassing 6,366,349 candidate regulatory paths (TF → Enhancer → Target Gene). When decomposed into constituent layers, the network is supported by 5,935 high-confidence physical TF–enhancer edges (connecting 325 transcription factors to 372 active enhancers) and 383,757 functional enhancer–gene perturbation edges (connecting 372 enhancers to 2,504 responsive target genes). Collapsing intermediate enhancers yields 542,760 unique TF–Target Gene functional pairs (Figure 4a,b; Table 3). This multi-level decomposition demonstrates that the multi-million path total reflects dense convergence of physical priors and downstream perturbation responses through 372 active enhancer hubs.</w:t>
      </w:r>
    </w:p>
    <w:p w:rsidR="000E6725" w:rsidRDefault="004B7759">
      <w:pPr>
        <w:keepNext/>
        <w:spacing w:before="120" w:after="80"/>
        <w:jc w:val="center"/>
      </w:pPr>
      <w:r>
        <w:rPr>
          <w:noProof/>
        </w:rPr>
        <w:lastRenderedPageBreak/>
        <w:drawing>
          <wp:inline distT="0" distB="0" distL="0" distR="0">
            <wp:extent cx="5669280" cy="6110633"/>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_4_Causal_Network_Architecture.png"/>
                    <pic:cNvPicPr/>
                  </pic:nvPicPr>
                  <pic:blipFill>
                    <a:blip r:embed="rId9"/>
                    <a:stretch>
                      <a:fillRect/>
                    </a:stretch>
                  </pic:blipFill>
                  <pic:spPr>
                    <a:xfrm>
                      <a:off x="0" y="0"/>
                      <a:ext cx="5669280" cy="6110633"/>
                    </a:xfrm>
                    <a:prstGeom prst="rect">
                      <a:avLst/>
                    </a:prstGeom>
                  </pic:spPr>
                </pic:pic>
              </a:graphicData>
            </a:graphic>
          </wp:inline>
        </w:drawing>
      </w:r>
    </w:p>
    <w:p w:rsidR="000E6725" w:rsidRDefault="004B7759">
      <w:pPr>
        <w:spacing w:before="60" w:after="240"/>
      </w:pPr>
      <w:r>
        <w:t xml:space="preserve">Figure </w:t>
      </w:r>
      <w:proofErr w:type="gramStart"/>
      <w:r>
        <w:t>4</w:t>
      </w:r>
      <w:proofErr w:type="gramEnd"/>
      <w:r>
        <w:t xml:space="preserve"> | Architecture of the triangulated causal tripartite gene regulatory network in TNBC. </w:t>
      </w:r>
      <w:proofErr w:type="gramStart"/>
      <w:r>
        <w:t>a</w:t>
      </w:r>
      <w:proofErr w:type="gramEnd"/>
      <w:r>
        <w:t xml:space="preserve">, Top master causal transcription factors ranked by cumulative outgoing causal edges in the tripartite network (TF -&gt; Enhancer -&gt; Target Gene), requiring simultaneous physical </w:t>
      </w:r>
      <w:proofErr w:type="spellStart"/>
      <w:r>
        <w:t>ChIP</w:t>
      </w:r>
      <w:proofErr w:type="spellEnd"/>
      <w:r>
        <w:t xml:space="preserve">-seq binding and functional </w:t>
      </w:r>
      <w:proofErr w:type="spellStart"/>
      <w:r>
        <w:t>CRISPRi</w:t>
      </w:r>
      <w:proofErr w:type="spellEnd"/>
      <w:r>
        <w:t xml:space="preserve"> perturbation response. </w:t>
      </w:r>
      <w:proofErr w:type="gramStart"/>
      <w:r>
        <w:t>b</w:t>
      </w:r>
      <w:proofErr w:type="gramEnd"/>
      <w:r>
        <w:t>, Distribution of triangulated causal regulatory weights (</w:t>
      </w:r>
      <w:proofErr w:type="spellStart"/>
      <w:r>
        <w:rPr>
          <w:i/>
        </w:rPr>
        <w:t>W</w:t>
      </w:r>
      <w:r>
        <w:rPr>
          <w:vertAlign w:val="subscript"/>
        </w:rPr>
        <w:t>causal</w:t>
      </w:r>
      <w:proofErr w:type="spellEnd"/>
      <w:r>
        <w:t xml:space="preserve"> = </w:t>
      </w:r>
      <w:proofErr w:type="spellStart"/>
      <w:r>
        <w:rPr>
          <w:i/>
        </w:rPr>
        <w:t>C</w:t>
      </w:r>
      <w:r>
        <w:rPr>
          <w:vertAlign w:val="subscript"/>
        </w:rPr>
        <w:t>ChIP</w:t>
      </w:r>
      <w:proofErr w:type="spellEnd"/>
      <w:r>
        <w:t xml:space="preserve"> × |log</w:t>
      </w:r>
      <w:r>
        <w:rPr>
          <w:vertAlign w:val="subscript"/>
        </w:rPr>
        <w:t>2</w:t>
      </w:r>
      <w:r>
        <w:t xml:space="preserve"> FC| × |</w:t>
      </w:r>
      <w:r>
        <w:rPr>
          <w:i/>
        </w:rPr>
        <w:t>t</w:t>
      </w:r>
      <w:r>
        <w:t>|), showing power-law scaling characteristic of scale-free biological regulatory hubs.</w:t>
      </w:r>
    </w:p>
    <w:p w:rsidR="000E6725" w:rsidRDefault="004B7759">
      <w:pPr>
        <w:keepNext/>
        <w:spacing w:before="200" w:after="40"/>
        <w:jc w:val="left"/>
      </w:pPr>
      <w:r>
        <w:rPr>
          <w:b/>
          <w:sz w:val="21"/>
        </w:rPr>
        <w:lastRenderedPageBreak/>
        <w:t>Table 3. Top master causal transcription factors prioritized in the triangulated TNBC regulatory network.</w:t>
      </w:r>
    </w:p>
    <w:tbl>
      <w:tblPr>
        <w:tblStyle w:val="PlainTable2"/>
        <w:tblW w:w="0" w:type="auto"/>
        <w:tblLook w:val="04A0" w:firstRow="1" w:lastRow="0" w:firstColumn="1" w:lastColumn="0" w:noHBand="0" w:noVBand="1"/>
      </w:tblPr>
      <w:tblGrid>
        <w:gridCol w:w="2016"/>
        <w:gridCol w:w="1440"/>
        <w:gridCol w:w="1440"/>
        <w:gridCol w:w="1584"/>
        <w:gridCol w:w="1440"/>
        <w:gridCol w:w="1440"/>
      </w:tblGrid>
      <w:tr w:rsidR="000E6725" w:rsidTr="00E205C5">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16" w:type="dxa"/>
          </w:tcPr>
          <w:p w:rsidR="000E6725" w:rsidRDefault="004B7759">
            <w:pPr>
              <w:spacing w:before="40" w:after="40" w:line="252" w:lineRule="auto"/>
              <w:jc w:val="center"/>
            </w:pPr>
            <w:r>
              <w:rPr>
                <w:sz w:val="19"/>
              </w:rPr>
              <w:t>Transcription Factor</w:t>
            </w:r>
          </w:p>
        </w:tc>
        <w:tc>
          <w:tcPr>
            <w:tcW w:w="1440" w:type="dxa"/>
          </w:tcPr>
          <w:p w:rsidR="000E6725" w:rsidRDefault="004B7759">
            <w:pPr>
              <w:spacing w:before="40" w:after="40" w:line="252" w:lineRule="auto"/>
              <w:jc w:val="center"/>
              <w:cnfStyle w:val="100000000000" w:firstRow="1" w:lastRow="0" w:firstColumn="0" w:lastColumn="0" w:oddVBand="0" w:evenVBand="0" w:oddHBand="0" w:evenHBand="0" w:firstRowFirstColumn="0" w:firstRowLastColumn="0" w:lastRowFirstColumn="0" w:lastRowLastColumn="0"/>
            </w:pPr>
            <w:r>
              <w:rPr>
                <w:sz w:val="19"/>
              </w:rPr>
              <w:t>Controlled Enhancers</w:t>
            </w:r>
          </w:p>
        </w:tc>
        <w:tc>
          <w:tcPr>
            <w:tcW w:w="1440" w:type="dxa"/>
          </w:tcPr>
          <w:p w:rsidR="000E6725" w:rsidRDefault="004B7759">
            <w:pPr>
              <w:spacing w:before="40" w:after="40" w:line="252" w:lineRule="auto"/>
              <w:jc w:val="center"/>
              <w:cnfStyle w:val="100000000000" w:firstRow="1" w:lastRow="0" w:firstColumn="0" w:lastColumn="0" w:oddVBand="0" w:evenVBand="0" w:oddHBand="0" w:evenHBand="0" w:firstRowFirstColumn="0" w:firstRowLastColumn="0" w:lastRowFirstColumn="0" w:lastRowLastColumn="0"/>
            </w:pPr>
            <w:r>
              <w:rPr>
                <w:sz w:val="19"/>
              </w:rPr>
              <w:t>Target Genes</w:t>
            </w:r>
          </w:p>
        </w:tc>
        <w:tc>
          <w:tcPr>
            <w:tcW w:w="1584" w:type="dxa"/>
          </w:tcPr>
          <w:p w:rsidR="000E6725" w:rsidRDefault="004B7759">
            <w:pPr>
              <w:spacing w:before="40" w:after="40" w:line="252" w:lineRule="auto"/>
              <w:jc w:val="center"/>
              <w:cnfStyle w:val="100000000000" w:firstRow="1" w:lastRow="0" w:firstColumn="0" w:lastColumn="0" w:oddVBand="0" w:evenVBand="0" w:oddHBand="0" w:evenHBand="0" w:firstRowFirstColumn="0" w:firstRowLastColumn="0" w:lastRowFirstColumn="0" w:lastRowLastColumn="0"/>
            </w:pPr>
            <w:r>
              <w:rPr>
                <w:sz w:val="19"/>
              </w:rPr>
              <w:t>Total Causal Edges</w:t>
            </w:r>
          </w:p>
        </w:tc>
        <w:tc>
          <w:tcPr>
            <w:tcW w:w="1440" w:type="dxa"/>
          </w:tcPr>
          <w:p w:rsidR="000E6725" w:rsidRDefault="004B7759">
            <w:pPr>
              <w:spacing w:before="40" w:after="40" w:line="252" w:lineRule="auto"/>
              <w:jc w:val="center"/>
              <w:cnfStyle w:val="100000000000" w:firstRow="1" w:lastRow="0" w:firstColumn="0" w:lastColumn="0" w:oddVBand="0" w:evenVBand="0" w:oddHBand="0" w:evenHBand="0" w:firstRowFirstColumn="0" w:firstRowLastColumn="0" w:lastRowFirstColumn="0" w:lastRowLastColumn="0"/>
            </w:pPr>
            <w:r>
              <w:rPr>
                <w:sz w:val="19"/>
              </w:rPr>
              <w:t>Mean Causal Weight</w:t>
            </w:r>
          </w:p>
        </w:tc>
        <w:tc>
          <w:tcPr>
            <w:tcW w:w="1440" w:type="dxa"/>
          </w:tcPr>
          <w:p w:rsidR="000E6725" w:rsidRDefault="004B7759">
            <w:pPr>
              <w:spacing w:before="40" w:after="40" w:line="252" w:lineRule="auto"/>
              <w:jc w:val="center"/>
              <w:cnfStyle w:val="100000000000" w:firstRow="1" w:lastRow="0" w:firstColumn="0" w:lastColumn="0" w:oddVBand="0" w:evenVBand="0" w:oddHBand="0" w:evenHBand="0" w:firstRowFirstColumn="0" w:firstRowLastColumn="0" w:lastRowFirstColumn="0" w:lastRowLastColumn="0"/>
            </w:pPr>
            <w:r>
              <w:rPr>
                <w:sz w:val="19"/>
              </w:rPr>
              <w:t>Max Causal Weight</w:t>
            </w:r>
          </w:p>
        </w:tc>
      </w:tr>
      <w:tr w:rsidR="000E6725" w:rsidTr="00E205C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16" w:type="dxa"/>
          </w:tcPr>
          <w:p w:rsidR="000E6725" w:rsidRDefault="004B7759">
            <w:pPr>
              <w:spacing w:before="40" w:after="40" w:line="252" w:lineRule="auto"/>
              <w:jc w:val="left"/>
            </w:pPr>
            <w:r>
              <w:rPr>
                <w:sz w:val="18"/>
              </w:rPr>
              <w:t>CTCF</w:t>
            </w:r>
          </w:p>
        </w:tc>
        <w:tc>
          <w:tcPr>
            <w:tcW w:w="1440" w:type="dxa"/>
          </w:tcPr>
          <w:p w:rsidR="000E6725" w:rsidRDefault="004B7759">
            <w:pPr>
              <w:spacing w:before="40" w:after="40" w:line="252" w:lineRule="auto"/>
              <w:jc w:val="center"/>
              <w:cnfStyle w:val="000000100000" w:firstRow="0" w:lastRow="0" w:firstColumn="0" w:lastColumn="0" w:oddVBand="0" w:evenVBand="0" w:oddHBand="1" w:evenHBand="0" w:firstRowFirstColumn="0" w:firstRowLastColumn="0" w:lastRowFirstColumn="0" w:lastRowLastColumn="0"/>
            </w:pPr>
            <w:r>
              <w:rPr>
                <w:sz w:val="18"/>
              </w:rPr>
              <w:t>106</w:t>
            </w:r>
          </w:p>
        </w:tc>
        <w:tc>
          <w:tcPr>
            <w:tcW w:w="1440" w:type="dxa"/>
          </w:tcPr>
          <w:p w:rsidR="000E6725" w:rsidRDefault="004B7759">
            <w:pPr>
              <w:spacing w:before="40" w:after="40" w:line="252" w:lineRule="auto"/>
              <w:jc w:val="center"/>
              <w:cnfStyle w:val="000000100000" w:firstRow="0" w:lastRow="0" w:firstColumn="0" w:lastColumn="0" w:oddVBand="0" w:evenVBand="0" w:oddHBand="1" w:evenHBand="0" w:firstRowFirstColumn="0" w:firstRowLastColumn="0" w:lastRowFirstColumn="0" w:lastRowLastColumn="0"/>
            </w:pPr>
            <w:r>
              <w:rPr>
                <w:sz w:val="18"/>
              </w:rPr>
              <w:t>2228</w:t>
            </w:r>
          </w:p>
        </w:tc>
        <w:tc>
          <w:tcPr>
            <w:tcW w:w="1584" w:type="dxa"/>
          </w:tcPr>
          <w:p w:rsidR="000E6725" w:rsidRDefault="004B7759">
            <w:pPr>
              <w:spacing w:before="40" w:after="40" w:line="252" w:lineRule="auto"/>
              <w:jc w:val="center"/>
              <w:cnfStyle w:val="000000100000" w:firstRow="0" w:lastRow="0" w:firstColumn="0" w:lastColumn="0" w:oddVBand="0" w:evenVBand="0" w:oddHBand="1" w:evenHBand="0" w:firstRowFirstColumn="0" w:firstRowLastColumn="0" w:lastRowFirstColumn="0" w:lastRowLastColumn="0"/>
            </w:pPr>
            <w:r>
              <w:rPr>
                <w:sz w:val="18"/>
              </w:rPr>
              <w:t>118738</w:t>
            </w:r>
          </w:p>
        </w:tc>
        <w:tc>
          <w:tcPr>
            <w:tcW w:w="1440" w:type="dxa"/>
          </w:tcPr>
          <w:p w:rsidR="000E6725" w:rsidRDefault="004B7759">
            <w:pPr>
              <w:spacing w:before="40" w:after="40" w:line="252" w:lineRule="auto"/>
              <w:jc w:val="center"/>
              <w:cnfStyle w:val="000000100000" w:firstRow="0" w:lastRow="0" w:firstColumn="0" w:lastColumn="0" w:oddVBand="0" w:evenVBand="0" w:oddHBand="1" w:evenHBand="0" w:firstRowFirstColumn="0" w:firstRowLastColumn="0" w:lastRowFirstColumn="0" w:lastRowLastColumn="0"/>
            </w:pPr>
            <w:r>
              <w:rPr>
                <w:sz w:val="18"/>
              </w:rPr>
              <w:t>2.30</w:t>
            </w:r>
          </w:p>
        </w:tc>
        <w:tc>
          <w:tcPr>
            <w:tcW w:w="1440" w:type="dxa"/>
          </w:tcPr>
          <w:p w:rsidR="000E6725" w:rsidRDefault="004B7759">
            <w:pPr>
              <w:spacing w:before="40" w:after="40" w:line="252" w:lineRule="auto"/>
              <w:jc w:val="center"/>
              <w:cnfStyle w:val="000000100000" w:firstRow="0" w:lastRow="0" w:firstColumn="0" w:lastColumn="0" w:oddVBand="0" w:evenVBand="0" w:oddHBand="1" w:evenHBand="0" w:firstRowFirstColumn="0" w:firstRowLastColumn="0" w:lastRowFirstColumn="0" w:lastRowLastColumn="0"/>
            </w:pPr>
            <w:r>
              <w:rPr>
                <w:sz w:val="18"/>
              </w:rPr>
              <w:t>42.42</w:t>
            </w:r>
          </w:p>
        </w:tc>
      </w:tr>
      <w:tr w:rsidR="000E6725" w:rsidTr="00E205C5">
        <w:tc>
          <w:tcPr>
            <w:cnfStyle w:val="001000000000" w:firstRow="0" w:lastRow="0" w:firstColumn="1" w:lastColumn="0" w:oddVBand="0" w:evenVBand="0" w:oddHBand="0" w:evenHBand="0" w:firstRowFirstColumn="0" w:firstRowLastColumn="0" w:lastRowFirstColumn="0" w:lastRowLastColumn="0"/>
            <w:tcW w:w="2016" w:type="dxa"/>
          </w:tcPr>
          <w:p w:rsidR="000E6725" w:rsidRDefault="004B7759">
            <w:pPr>
              <w:spacing w:before="40" w:after="40" w:line="252" w:lineRule="auto"/>
              <w:jc w:val="left"/>
            </w:pPr>
            <w:r>
              <w:rPr>
                <w:sz w:val="18"/>
              </w:rPr>
              <w:t>POLR2A</w:t>
            </w:r>
          </w:p>
        </w:tc>
        <w:tc>
          <w:tcPr>
            <w:tcW w:w="1440" w:type="dxa"/>
          </w:tcPr>
          <w:p w:rsidR="000E6725" w:rsidRDefault="004B7759">
            <w:pPr>
              <w:spacing w:before="40" w:after="40" w:line="252" w:lineRule="auto"/>
              <w:jc w:val="center"/>
              <w:cnfStyle w:val="000000000000" w:firstRow="0" w:lastRow="0" w:firstColumn="0" w:lastColumn="0" w:oddVBand="0" w:evenVBand="0" w:oddHBand="0" w:evenHBand="0" w:firstRowFirstColumn="0" w:firstRowLastColumn="0" w:lastRowFirstColumn="0" w:lastRowLastColumn="0"/>
            </w:pPr>
            <w:r>
              <w:rPr>
                <w:sz w:val="18"/>
              </w:rPr>
              <w:t>101</w:t>
            </w:r>
          </w:p>
        </w:tc>
        <w:tc>
          <w:tcPr>
            <w:tcW w:w="1440" w:type="dxa"/>
          </w:tcPr>
          <w:p w:rsidR="000E6725" w:rsidRDefault="004B7759">
            <w:pPr>
              <w:spacing w:before="40" w:after="40" w:line="252" w:lineRule="auto"/>
              <w:jc w:val="center"/>
              <w:cnfStyle w:val="000000000000" w:firstRow="0" w:lastRow="0" w:firstColumn="0" w:lastColumn="0" w:oddVBand="0" w:evenVBand="0" w:oddHBand="0" w:evenHBand="0" w:firstRowFirstColumn="0" w:firstRowLastColumn="0" w:lastRowFirstColumn="0" w:lastRowLastColumn="0"/>
            </w:pPr>
            <w:r>
              <w:rPr>
                <w:sz w:val="18"/>
              </w:rPr>
              <w:t>2151</w:t>
            </w:r>
          </w:p>
        </w:tc>
        <w:tc>
          <w:tcPr>
            <w:tcW w:w="1584" w:type="dxa"/>
          </w:tcPr>
          <w:p w:rsidR="000E6725" w:rsidRDefault="004B7759">
            <w:pPr>
              <w:spacing w:before="40" w:after="40" w:line="252" w:lineRule="auto"/>
              <w:jc w:val="center"/>
              <w:cnfStyle w:val="000000000000" w:firstRow="0" w:lastRow="0" w:firstColumn="0" w:lastColumn="0" w:oddVBand="0" w:evenVBand="0" w:oddHBand="0" w:evenHBand="0" w:firstRowFirstColumn="0" w:firstRowLastColumn="0" w:lastRowFirstColumn="0" w:lastRowLastColumn="0"/>
            </w:pPr>
            <w:r>
              <w:rPr>
                <w:sz w:val="18"/>
              </w:rPr>
              <w:t>110463</w:t>
            </w:r>
          </w:p>
        </w:tc>
        <w:tc>
          <w:tcPr>
            <w:tcW w:w="1440" w:type="dxa"/>
          </w:tcPr>
          <w:p w:rsidR="000E6725" w:rsidRDefault="004B7759">
            <w:pPr>
              <w:spacing w:before="40" w:after="40" w:line="252" w:lineRule="auto"/>
              <w:jc w:val="center"/>
              <w:cnfStyle w:val="000000000000" w:firstRow="0" w:lastRow="0" w:firstColumn="0" w:lastColumn="0" w:oddVBand="0" w:evenVBand="0" w:oddHBand="0" w:evenHBand="0" w:firstRowFirstColumn="0" w:firstRowLastColumn="0" w:lastRowFirstColumn="0" w:lastRowLastColumn="0"/>
            </w:pPr>
            <w:r>
              <w:rPr>
                <w:sz w:val="18"/>
              </w:rPr>
              <w:t>2.54</w:t>
            </w:r>
          </w:p>
        </w:tc>
        <w:tc>
          <w:tcPr>
            <w:tcW w:w="1440" w:type="dxa"/>
          </w:tcPr>
          <w:p w:rsidR="000E6725" w:rsidRDefault="004B7759">
            <w:pPr>
              <w:spacing w:before="40" w:after="40" w:line="252" w:lineRule="auto"/>
              <w:jc w:val="center"/>
              <w:cnfStyle w:val="000000000000" w:firstRow="0" w:lastRow="0" w:firstColumn="0" w:lastColumn="0" w:oddVBand="0" w:evenVBand="0" w:oddHBand="0" w:evenHBand="0" w:firstRowFirstColumn="0" w:firstRowLastColumn="0" w:lastRowFirstColumn="0" w:lastRowLastColumn="0"/>
            </w:pPr>
            <w:r>
              <w:rPr>
                <w:sz w:val="18"/>
              </w:rPr>
              <w:t>50.84</w:t>
            </w:r>
          </w:p>
        </w:tc>
      </w:tr>
      <w:tr w:rsidR="000E6725" w:rsidTr="00E205C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16" w:type="dxa"/>
          </w:tcPr>
          <w:p w:rsidR="000E6725" w:rsidRDefault="004B7759">
            <w:pPr>
              <w:spacing w:before="40" w:after="40" w:line="252" w:lineRule="auto"/>
              <w:jc w:val="left"/>
            </w:pPr>
            <w:r>
              <w:rPr>
                <w:sz w:val="18"/>
              </w:rPr>
              <w:t>JUND</w:t>
            </w:r>
          </w:p>
        </w:tc>
        <w:tc>
          <w:tcPr>
            <w:tcW w:w="1440" w:type="dxa"/>
          </w:tcPr>
          <w:p w:rsidR="000E6725" w:rsidRDefault="004B7759">
            <w:pPr>
              <w:spacing w:before="40" w:after="40" w:line="252" w:lineRule="auto"/>
              <w:jc w:val="center"/>
              <w:cnfStyle w:val="000000100000" w:firstRow="0" w:lastRow="0" w:firstColumn="0" w:lastColumn="0" w:oddVBand="0" w:evenVBand="0" w:oddHBand="1" w:evenHBand="0" w:firstRowFirstColumn="0" w:firstRowLastColumn="0" w:lastRowFirstColumn="0" w:lastRowLastColumn="0"/>
            </w:pPr>
            <w:r>
              <w:rPr>
                <w:sz w:val="18"/>
              </w:rPr>
              <w:t>69</w:t>
            </w:r>
          </w:p>
        </w:tc>
        <w:tc>
          <w:tcPr>
            <w:tcW w:w="1440" w:type="dxa"/>
          </w:tcPr>
          <w:p w:rsidR="000E6725" w:rsidRDefault="004B7759">
            <w:pPr>
              <w:spacing w:before="40" w:after="40" w:line="252" w:lineRule="auto"/>
              <w:jc w:val="center"/>
              <w:cnfStyle w:val="000000100000" w:firstRow="0" w:lastRow="0" w:firstColumn="0" w:lastColumn="0" w:oddVBand="0" w:evenVBand="0" w:oddHBand="1" w:evenHBand="0" w:firstRowFirstColumn="0" w:firstRowLastColumn="0" w:lastRowFirstColumn="0" w:lastRowLastColumn="0"/>
            </w:pPr>
            <w:r>
              <w:rPr>
                <w:sz w:val="18"/>
              </w:rPr>
              <w:t>2103</w:t>
            </w:r>
          </w:p>
        </w:tc>
        <w:tc>
          <w:tcPr>
            <w:tcW w:w="1584" w:type="dxa"/>
          </w:tcPr>
          <w:p w:rsidR="000E6725" w:rsidRDefault="004B7759">
            <w:pPr>
              <w:spacing w:before="40" w:after="40" w:line="252" w:lineRule="auto"/>
              <w:jc w:val="center"/>
              <w:cnfStyle w:val="000000100000" w:firstRow="0" w:lastRow="0" w:firstColumn="0" w:lastColumn="0" w:oddVBand="0" w:evenVBand="0" w:oddHBand="1" w:evenHBand="0" w:firstRowFirstColumn="0" w:firstRowLastColumn="0" w:lastRowFirstColumn="0" w:lastRowLastColumn="0"/>
            </w:pPr>
            <w:r>
              <w:rPr>
                <w:sz w:val="18"/>
              </w:rPr>
              <w:t>75316</w:t>
            </w:r>
          </w:p>
        </w:tc>
        <w:tc>
          <w:tcPr>
            <w:tcW w:w="1440" w:type="dxa"/>
          </w:tcPr>
          <w:p w:rsidR="000E6725" w:rsidRDefault="004B7759">
            <w:pPr>
              <w:spacing w:before="40" w:after="40" w:line="252" w:lineRule="auto"/>
              <w:jc w:val="center"/>
              <w:cnfStyle w:val="000000100000" w:firstRow="0" w:lastRow="0" w:firstColumn="0" w:lastColumn="0" w:oddVBand="0" w:evenVBand="0" w:oddHBand="1" w:evenHBand="0" w:firstRowFirstColumn="0" w:firstRowLastColumn="0" w:lastRowFirstColumn="0" w:lastRowLastColumn="0"/>
            </w:pPr>
            <w:r>
              <w:rPr>
                <w:sz w:val="18"/>
              </w:rPr>
              <w:t>2.49</w:t>
            </w:r>
          </w:p>
        </w:tc>
        <w:tc>
          <w:tcPr>
            <w:tcW w:w="1440" w:type="dxa"/>
          </w:tcPr>
          <w:p w:rsidR="000E6725" w:rsidRDefault="004B7759">
            <w:pPr>
              <w:spacing w:before="40" w:after="40" w:line="252" w:lineRule="auto"/>
              <w:jc w:val="center"/>
              <w:cnfStyle w:val="000000100000" w:firstRow="0" w:lastRow="0" w:firstColumn="0" w:lastColumn="0" w:oddVBand="0" w:evenVBand="0" w:oddHBand="1" w:evenHBand="0" w:firstRowFirstColumn="0" w:firstRowLastColumn="0" w:lastRowFirstColumn="0" w:lastRowLastColumn="0"/>
            </w:pPr>
            <w:r>
              <w:rPr>
                <w:sz w:val="18"/>
              </w:rPr>
              <w:t>45.33</w:t>
            </w:r>
          </w:p>
        </w:tc>
      </w:tr>
      <w:tr w:rsidR="000E6725" w:rsidTr="00E205C5">
        <w:tc>
          <w:tcPr>
            <w:cnfStyle w:val="001000000000" w:firstRow="0" w:lastRow="0" w:firstColumn="1" w:lastColumn="0" w:oddVBand="0" w:evenVBand="0" w:oddHBand="0" w:evenHBand="0" w:firstRowFirstColumn="0" w:firstRowLastColumn="0" w:lastRowFirstColumn="0" w:lastRowLastColumn="0"/>
            <w:tcW w:w="2016" w:type="dxa"/>
          </w:tcPr>
          <w:p w:rsidR="000E6725" w:rsidRDefault="004B7759">
            <w:pPr>
              <w:spacing w:before="40" w:after="40" w:line="252" w:lineRule="auto"/>
              <w:jc w:val="left"/>
            </w:pPr>
            <w:r>
              <w:rPr>
                <w:sz w:val="18"/>
              </w:rPr>
              <w:t>EP300</w:t>
            </w:r>
          </w:p>
        </w:tc>
        <w:tc>
          <w:tcPr>
            <w:tcW w:w="1440" w:type="dxa"/>
          </w:tcPr>
          <w:p w:rsidR="000E6725" w:rsidRDefault="004B7759">
            <w:pPr>
              <w:spacing w:before="40" w:after="40" w:line="252" w:lineRule="auto"/>
              <w:jc w:val="center"/>
              <w:cnfStyle w:val="000000000000" w:firstRow="0" w:lastRow="0" w:firstColumn="0" w:lastColumn="0" w:oddVBand="0" w:evenVBand="0" w:oddHBand="0" w:evenHBand="0" w:firstRowFirstColumn="0" w:firstRowLastColumn="0" w:lastRowFirstColumn="0" w:lastRowLastColumn="0"/>
            </w:pPr>
            <w:r>
              <w:rPr>
                <w:sz w:val="18"/>
              </w:rPr>
              <w:t>65</w:t>
            </w:r>
          </w:p>
        </w:tc>
        <w:tc>
          <w:tcPr>
            <w:tcW w:w="1440" w:type="dxa"/>
          </w:tcPr>
          <w:p w:rsidR="000E6725" w:rsidRDefault="004B7759">
            <w:pPr>
              <w:spacing w:before="40" w:after="40" w:line="252" w:lineRule="auto"/>
              <w:jc w:val="center"/>
              <w:cnfStyle w:val="000000000000" w:firstRow="0" w:lastRow="0" w:firstColumn="0" w:lastColumn="0" w:oddVBand="0" w:evenVBand="0" w:oddHBand="0" w:evenHBand="0" w:firstRowFirstColumn="0" w:firstRowLastColumn="0" w:lastRowFirstColumn="0" w:lastRowLastColumn="0"/>
            </w:pPr>
            <w:r>
              <w:rPr>
                <w:sz w:val="18"/>
              </w:rPr>
              <w:t>2078</w:t>
            </w:r>
          </w:p>
        </w:tc>
        <w:tc>
          <w:tcPr>
            <w:tcW w:w="1584" w:type="dxa"/>
          </w:tcPr>
          <w:p w:rsidR="000E6725" w:rsidRDefault="004B7759">
            <w:pPr>
              <w:spacing w:before="40" w:after="40" w:line="252" w:lineRule="auto"/>
              <w:jc w:val="center"/>
              <w:cnfStyle w:val="000000000000" w:firstRow="0" w:lastRow="0" w:firstColumn="0" w:lastColumn="0" w:oddVBand="0" w:evenVBand="0" w:oddHBand="0" w:evenHBand="0" w:firstRowFirstColumn="0" w:firstRowLastColumn="0" w:lastRowFirstColumn="0" w:lastRowLastColumn="0"/>
            </w:pPr>
            <w:r>
              <w:rPr>
                <w:sz w:val="18"/>
              </w:rPr>
              <w:t>67275</w:t>
            </w:r>
          </w:p>
        </w:tc>
        <w:tc>
          <w:tcPr>
            <w:tcW w:w="1440" w:type="dxa"/>
          </w:tcPr>
          <w:p w:rsidR="000E6725" w:rsidRDefault="004B7759">
            <w:pPr>
              <w:spacing w:before="40" w:after="40" w:line="252" w:lineRule="auto"/>
              <w:jc w:val="center"/>
              <w:cnfStyle w:val="000000000000" w:firstRow="0" w:lastRow="0" w:firstColumn="0" w:lastColumn="0" w:oddVBand="0" w:evenVBand="0" w:oddHBand="0" w:evenHBand="0" w:firstRowFirstColumn="0" w:firstRowLastColumn="0" w:lastRowFirstColumn="0" w:lastRowLastColumn="0"/>
            </w:pPr>
            <w:r>
              <w:rPr>
                <w:sz w:val="18"/>
              </w:rPr>
              <w:t>2.85</w:t>
            </w:r>
          </w:p>
        </w:tc>
        <w:tc>
          <w:tcPr>
            <w:tcW w:w="1440" w:type="dxa"/>
          </w:tcPr>
          <w:p w:rsidR="000E6725" w:rsidRDefault="004B7759">
            <w:pPr>
              <w:spacing w:before="40" w:after="40" w:line="252" w:lineRule="auto"/>
              <w:jc w:val="center"/>
              <w:cnfStyle w:val="000000000000" w:firstRow="0" w:lastRow="0" w:firstColumn="0" w:lastColumn="0" w:oddVBand="0" w:evenVBand="0" w:oddHBand="0" w:evenHBand="0" w:firstRowFirstColumn="0" w:firstRowLastColumn="0" w:lastRowFirstColumn="0" w:lastRowLastColumn="0"/>
            </w:pPr>
            <w:r>
              <w:rPr>
                <w:sz w:val="18"/>
              </w:rPr>
              <w:t>32.42</w:t>
            </w:r>
          </w:p>
        </w:tc>
      </w:tr>
      <w:tr w:rsidR="000E6725" w:rsidTr="00E205C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16" w:type="dxa"/>
          </w:tcPr>
          <w:p w:rsidR="000E6725" w:rsidRDefault="004B7759">
            <w:pPr>
              <w:spacing w:before="40" w:after="40" w:line="252" w:lineRule="auto"/>
              <w:jc w:val="left"/>
            </w:pPr>
            <w:r>
              <w:rPr>
                <w:sz w:val="18"/>
              </w:rPr>
              <w:t>IKZF1</w:t>
            </w:r>
          </w:p>
        </w:tc>
        <w:tc>
          <w:tcPr>
            <w:tcW w:w="1440" w:type="dxa"/>
          </w:tcPr>
          <w:p w:rsidR="000E6725" w:rsidRDefault="004B7759">
            <w:pPr>
              <w:spacing w:before="40" w:after="40" w:line="252" w:lineRule="auto"/>
              <w:jc w:val="center"/>
              <w:cnfStyle w:val="000000100000" w:firstRow="0" w:lastRow="0" w:firstColumn="0" w:lastColumn="0" w:oddVBand="0" w:evenVBand="0" w:oddHBand="1" w:evenHBand="0" w:firstRowFirstColumn="0" w:firstRowLastColumn="0" w:lastRowFirstColumn="0" w:lastRowLastColumn="0"/>
            </w:pPr>
            <w:r>
              <w:rPr>
                <w:sz w:val="18"/>
              </w:rPr>
              <w:t>58</w:t>
            </w:r>
          </w:p>
        </w:tc>
        <w:tc>
          <w:tcPr>
            <w:tcW w:w="1440" w:type="dxa"/>
          </w:tcPr>
          <w:p w:rsidR="000E6725" w:rsidRDefault="004B7759">
            <w:pPr>
              <w:spacing w:before="40" w:after="40" w:line="252" w:lineRule="auto"/>
              <w:jc w:val="center"/>
              <w:cnfStyle w:val="000000100000" w:firstRow="0" w:lastRow="0" w:firstColumn="0" w:lastColumn="0" w:oddVBand="0" w:evenVBand="0" w:oddHBand="1" w:evenHBand="0" w:firstRowFirstColumn="0" w:firstRowLastColumn="0" w:lastRowFirstColumn="0" w:lastRowLastColumn="0"/>
            </w:pPr>
            <w:r>
              <w:rPr>
                <w:sz w:val="18"/>
              </w:rPr>
              <w:t>2039</w:t>
            </w:r>
          </w:p>
        </w:tc>
        <w:tc>
          <w:tcPr>
            <w:tcW w:w="1584" w:type="dxa"/>
          </w:tcPr>
          <w:p w:rsidR="000E6725" w:rsidRDefault="004B7759">
            <w:pPr>
              <w:spacing w:before="40" w:after="40" w:line="252" w:lineRule="auto"/>
              <w:jc w:val="center"/>
              <w:cnfStyle w:val="000000100000" w:firstRow="0" w:lastRow="0" w:firstColumn="0" w:lastColumn="0" w:oddVBand="0" w:evenVBand="0" w:oddHBand="1" w:evenHBand="0" w:firstRowFirstColumn="0" w:firstRowLastColumn="0" w:lastRowFirstColumn="0" w:lastRowLastColumn="0"/>
            </w:pPr>
            <w:r>
              <w:rPr>
                <w:sz w:val="18"/>
              </w:rPr>
              <w:t>63658</w:t>
            </w:r>
          </w:p>
        </w:tc>
        <w:tc>
          <w:tcPr>
            <w:tcW w:w="1440" w:type="dxa"/>
          </w:tcPr>
          <w:p w:rsidR="000E6725" w:rsidRDefault="004B7759">
            <w:pPr>
              <w:spacing w:before="40" w:after="40" w:line="252" w:lineRule="auto"/>
              <w:jc w:val="center"/>
              <w:cnfStyle w:val="000000100000" w:firstRow="0" w:lastRow="0" w:firstColumn="0" w:lastColumn="0" w:oddVBand="0" w:evenVBand="0" w:oddHBand="1" w:evenHBand="0" w:firstRowFirstColumn="0" w:firstRowLastColumn="0" w:lastRowFirstColumn="0" w:lastRowLastColumn="0"/>
            </w:pPr>
            <w:r>
              <w:rPr>
                <w:sz w:val="18"/>
              </w:rPr>
              <w:t>2.02</w:t>
            </w:r>
          </w:p>
        </w:tc>
        <w:tc>
          <w:tcPr>
            <w:tcW w:w="1440" w:type="dxa"/>
          </w:tcPr>
          <w:p w:rsidR="000E6725" w:rsidRDefault="004B7759">
            <w:pPr>
              <w:spacing w:before="40" w:after="40" w:line="252" w:lineRule="auto"/>
              <w:jc w:val="center"/>
              <w:cnfStyle w:val="000000100000" w:firstRow="0" w:lastRow="0" w:firstColumn="0" w:lastColumn="0" w:oddVBand="0" w:evenVBand="0" w:oddHBand="1" w:evenHBand="0" w:firstRowFirstColumn="0" w:firstRowLastColumn="0" w:lastRowFirstColumn="0" w:lastRowLastColumn="0"/>
            </w:pPr>
            <w:r>
              <w:rPr>
                <w:sz w:val="18"/>
              </w:rPr>
              <w:t>29.38</w:t>
            </w:r>
          </w:p>
        </w:tc>
      </w:tr>
      <w:tr w:rsidR="000E6725" w:rsidTr="00E205C5">
        <w:tc>
          <w:tcPr>
            <w:cnfStyle w:val="001000000000" w:firstRow="0" w:lastRow="0" w:firstColumn="1" w:lastColumn="0" w:oddVBand="0" w:evenVBand="0" w:oddHBand="0" w:evenHBand="0" w:firstRowFirstColumn="0" w:firstRowLastColumn="0" w:lastRowFirstColumn="0" w:lastRowLastColumn="0"/>
            <w:tcW w:w="2016" w:type="dxa"/>
          </w:tcPr>
          <w:p w:rsidR="000E6725" w:rsidRDefault="004B7759">
            <w:pPr>
              <w:spacing w:before="40" w:after="40" w:line="252" w:lineRule="auto"/>
              <w:jc w:val="left"/>
            </w:pPr>
            <w:r>
              <w:rPr>
                <w:sz w:val="18"/>
              </w:rPr>
              <w:t>RAD21</w:t>
            </w:r>
          </w:p>
        </w:tc>
        <w:tc>
          <w:tcPr>
            <w:tcW w:w="1440" w:type="dxa"/>
          </w:tcPr>
          <w:p w:rsidR="000E6725" w:rsidRDefault="004B7759">
            <w:pPr>
              <w:spacing w:before="40" w:after="40" w:line="252" w:lineRule="auto"/>
              <w:jc w:val="center"/>
              <w:cnfStyle w:val="000000000000" w:firstRow="0" w:lastRow="0" w:firstColumn="0" w:lastColumn="0" w:oddVBand="0" w:evenVBand="0" w:oddHBand="0" w:evenHBand="0" w:firstRowFirstColumn="0" w:firstRowLastColumn="0" w:lastRowFirstColumn="0" w:lastRowLastColumn="0"/>
            </w:pPr>
            <w:r>
              <w:rPr>
                <w:sz w:val="18"/>
              </w:rPr>
              <w:t>58</w:t>
            </w:r>
          </w:p>
        </w:tc>
        <w:tc>
          <w:tcPr>
            <w:tcW w:w="1440" w:type="dxa"/>
          </w:tcPr>
          <w:p w:rsidR="000E6725" w:rsidRDefault="004B7759">
            <w:pPr>
              <w:spacing w:before="40" w:after="40" w:line="252" w:lineRule="auto"/>
              <w:jc w:val="center"/>
              <w:cnfStyle w:val="000000000000" w:firstRow="0" w:lastRow="0" w:firstColumn="0" w:lastColumn="0" w:oddVBand="0" w:evenVBand="0" w:oddHBand="0" w:evenHBand="0" w:firstRowFirstColumn="0" w:firstRowLastColumn="0" w:lastRowFirstColumn="0" w:lastRowLastColumn="0"/>
            </w:pPr>
            <w:r>
              <w:rPr>
                <w:sz w:val="18"/>
              </w:rPr>
              <w:t>2041</w:t>
            </w:r>
          </w:p>
        </w:tc>
        <w:tc>
          <w:tcPr>
            <w:tcW w:w="1584" w:type="dxa"/>
          </w:tcPr>
          <w:p w:rsidR="000E6725" w:rsidRDefault="004B7759">
            <w:pPr>
              <w:spacing w:before="40" w:after="40" w:line="252" w:lineRule="auto"/>
              <w:jc w:val="center"/>
              <w:cnfStyle w:val="000000000000" w:firstRow="0" w:lastRow="0" w:firstColumn="0" w:lastColumn="0" w:oddVBand="0" w:evenVBand="0" w:oddHBand="0" w:evenHBand="0" w:firstRowFirstColumn="0" w:firstRowLastColumn="0" w:lastRowFirstColumn="0" w:lastRowLastColumn="0"/>
            </w:pPr>
            <w:r>
              <w:rPr>
                <w:sz w:val="18"/>
              </w:rPr>
              <w:t>63166</w:t>
            </w:r>
          </w:p>
        </w:tc>
        <w:tc>
          <w:tcPr>
            <w:tcW w:w="1440" w:type="dxa"/>
          </w:tcPr>
          <w:p w:rsidR="000E6725" w:rsidRDefault="004B7759">
            <w:pPr>
              <w:spacing w:before="40" w:after="40" w:line="252" w:lineRule="auto"/>
              <w:jc w:val="center"/>
              <w:cnfStyle w:val="000000000000" w:firstRow="0" w:lastRow="0" w:firstColumn="0" w:lastColumn="0" w:oddVBand="0" w:evenVBand="0" w:oddHBand="0" w:evenHBand="0" w:firstRowFirstColumn="0" w:firstRowLastColumn="0" w:lastRowFirstColumn="0" w:lastRowLastColumn="0"/>
            </w:pPr>
            <w:r>
              <w:rPr>
                <w:sz w:val="18"/>
              </w:rPr>
              <w:t>2.30</w:t>
            </w:r>
          </w:p>
        </w:tc>
        <w:tc>
          <w:tcPr>
            <w:tcW w:w="1440" w:type="dxa"/>
          </w:tcPr>
          <w:p w:rsidR="000E6725" w:rsidRDefault="004B7759">
            <w:pPr>
              <w:spacing w:before="40" w:after="40" w:line="252" w:lineRule="auto"/>
              <w:jc w:val="center"/>
              <w:cnfStyle w:val="000000000000" w:firstRow="0" w:lastRow="0" w:firstColumn="0" w:lastColumn="0" w:oddVBand="0" w:evenVBand="0" w:oddHBand="0" w:evenHBand="0" w:firstRowFirstColumn="0" w:firstRowLastColumn="0" w:lastRowFirstColumn="0" w:lastRowLastColumn="0"/>
            </w:pPr>
            <w:r>
              <w:rPr>
                <w:sz w:val="18"/>
              </w:rPr>
              <w:t>37.77</w:t>
            </w:r>
          </w:p>
        </w:tc>
      </w:tr>
      <w:tr w:rsidR="000E6725" w:rsidTr="00E205C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16" w:type="dxa"/>
          </w:tcPr>
          <w:p w:rsidR="000E6725" w:rsidRDefault="004B7759">
            <w:pPr>
              <w:spacing w:before="40" w:after="40" w:line="252" w:lineRule="auto"/>
              <w:jc w:val="left"/>
            </w:pPr>
            <w:r>
              <w:rPr>
                <w:sz w:val="18"/>
              </w:rPr>
              <w:t>REST</w:t>
            </w:r>
          </w:p>
        </w:tc>
        <w:tc>
          <w:tcPr>
            <w:tcW w:w="1440" w:type="dxa"/>
          </w:tcPr>
          <w:p w:rsidR="000E6725" w:rsidRDefault="004B7759">
            <w:pPr>
              <w:spacing w:before="40" w:after="40" w:line="252" w:lineRule="auto"/>
              <w:jc w:val="center"/>
              <w:cnfStyle w:val="000000100000" w:firstRow="0" w:lastRow="0" w:firstColumn="0" w:lastColumn="0" w:oddVBand="0" w:evenVBand="0" w:oddHBand="1" w:evenHBand="0" w:firstRowFirstColumn="0" w:firstRowLastColumn="0" w:lastRowFirstColumn="0" w:lastRowLastColumn="0"/>
            </w:pPr>
            <w:r>
              <w:rPr>
                <w:sz w:val="18"/>
              </w:rPr>
              <w:t>57</w:t>
            </w:r>
          </w:p>
        </w:tc>
        <w:tc>
          <w:tcPr>
            <w:tcW w:w="1440" w:type="dxa"/>
          </w:tcPr>
          <w:p w:rsidR="000E6725" w:rsidRDefault="004B7759">
            <w:pPr>
              <w:spacing w:before="40" w:after="40" w:line="252" w:lineRule="auto"/>
              <w:jc w:val="center"/>
              <w:cnfStyle w:val="000000100000" w:firstRow="0" w:lastRow="0" w:firstColumn="0" w:lastColumn="0" w:oddVBand="0" w:evenVBand="0" w:oddHBand="1" w:evenHBand="0" w:firstRowFirstColumn="0" w:firstRowLastColumn="0" w:lastRowFirstColumn="0" w:lastRowLastColumn="0"/>
            </w:pPr>
            <w:r>
              <w:rPr>
                <w:sz w:val="18"/>
              </w:rPr>
              <w:t>2024</w:t>
            </w:r>
          </w:p>
        </w:tc>
        <w:tc>
          <w:tcPr>
            <w:tcW w:w="1584" w:type="dxa"/>
          </w:tcPr>
          <w:p w:rsidR="000E6725" w:rsidRDefault="004B7759">
            <w:pPr>
              <w:spacing w:before="40" w:after="40" w:line="252" w:lineRule="auto"/>
              <w:jc w:val="center"/>
              <w:cnfStyle w:val="000000100000" w:firstRow="0" w:lastRow="0" w:firstColumn="0" w:lastColumn="0" w:oddVBand="0" w:evenVBand="0" w:oddHBand="1" w:evenHBand="0" w:firstRowFirstColumn="0" w:firstRowLastColumn="0" w:lastRowFirstColumn="0" w:lastRowLastColumn="0"/>
            </w:pPr>
            <w:r>
              <w:rPr>
                <w:sz w:val="18"/>
              </w:rPr>
              <w:t>62513</w:t>
            </w:r>
          </w:p>
        </w:tc>
        <w:tc>
          <w:tcPr>
            <w:tcW w:w="1440" w:type="dxa"/>
          </w:tcPr>
          <w:p w:rsidR="000E6725" w:rsidRDefault="004B7759">
            <w:pPr>
              <w:spacing w:before="40" w:after="40" w:line="252" w:lineRule="auto"/>
              <w:jc w:val="center"/>
              <w:cnfStyle w:val="000000100000" w:firstRow="0" w:lastRow="0" w:firstColumn="0" w:lastColumn="0" w:oddVBand="0" w:evenVBand="0" w:oddHBand="1" w:evenHBand="0" w:firstRowFirstColumn="0" w:firstRowLastColumn="0" w:lastRowFirstColumn="0" w:lastRowLastColumn="0"/>
            </w:pPr>
            <w:r>
              <w:rPr>
                <w:sz w:val="18"/>
              </w:rPr>
              <w:t>1.53</w:t>
            </w:r>
          </w:p>
        </w:tc>
        <w:tc>
          <w:tcPr>
            <w:tcW w:w="1440" w:type="dxa"/>
          </w:tcPr>
          <w:p w:rsidR="000E6725" w:rsidRDefault="004B7759">
            <w:pPr>
              <w:spacing w:before="40" w:after="40" w:line="252" w:lineRule="auto"/>
              <w:jc w:val="center"/>
              <w:cnfStyle w:val="000000100000" w:firstRow="0" w:lastRow="0" w:firstColumn="0" w:lastColumn="0" w:oddVBand="0" w:evenVBand="0" w:oddHBand="1" w:evenHBand="0" w:firstRowFirstColumn="0" w:firstRowLastColumn="0" w:lastRowFirstColumn="0" w:lastRowLastColumn="0"/>
            </w:pPr>
            <w:r>
              <w:rPr>
                <w:sz w:val="18"/>
              </w:rPr>
              <w:t>32.76</w:t>
            </w:r>
          </w:p>
        </w:tc>
      </w:tr>
      <w:tr w:rsidR="000E6725" w:rsidTr="00E205C5">
        <w:tc>
          <w:tcPr>
            <w:cnfStyle w:val="001000000000" w:firstRow="0" w:lastRow="0" w:firstColumn="1" w:lastColumn="0" w:oddVBand="0" w:evenVBand="0" w:oddHBand="0" w:evenHBand="0" w:firstRowFirstColumn="0" w:firstRowLastColumn="0" w:lastRowFirstColumn="0" w:lastRowLastColumn="0"/>
            <w:tcW w:w="2016" w:type="dxa"/>
          </w:tcPr>
          <w:p w:rsidR="000E6725" w:rsidRDefault="004B7759">
            <w:pPr>
              <w:spacing w:before="40" w:after="40" w:line="252" w:lineRule="auto"/>
              <w:jc w:val="left"/>
            </w:pPr>
            <w:r>
              <w:rPr>
                <w:sz w:val="18"/>
              </w:rPr>
              <w:t>MAX</w:t>
            </w:r>
          </w:p>
        </w:tc>
        <w:tc>
          <w:tcPr>
            <w:tcW w:w="1440" w:type="dxa"/>
          </w:tcPr>
          <w:p w:rsidR="000E6725" w:rsidRDefault="004B7759">
            <w:pPr>
              <w:spacing w:before="40" w:after="40" w:line="252" w:lineRule="auto"/>
              <w:jc w:val="center"/>
              <w:cnfStyle w:val="000000000000" w:firstRow="0" w:lastRow="0" w:firstColumn="0" w:lastColumn="0" w:oddVBand="0" w:evenVBand="0" w:oddHBand="0" w:evenHBand="0" w:firstRowFirstColumn="0" w:firstRowLastColumn="0" w:lastRowFirstColumn="0" w:lastRowLastColumn="0"/>
            </w:pPr>
            <w:r>
              <w:rPr>
                <w:sz w:val="18"/>
              </w:rPr>
              <w:t>52</w:t>
            </w:r>
          </w:p>
        </w:tc>
        <w:tc>
          <w:tcPr>
            <w:tcW w:w="1440" w:type="dxa"/>
          </w:tcPr>
          <w:p w:rsidR="000E6725" w:rsidRDefault="004B7759">
            <w:pPr>
              <w:spacing w:before="40" w:after="40" w:line="252" w:lineRule="auto"/>
              <w:jc w:val="center"/>
              <w:cnfStyle w:val="000000000000" w:firstRow="0" w:lastRow="0" w:firstColumn="0" w:lastColumn="0" w:oddVBand="0" w:evenVBand="0" w:oddHBand="0" w:evenHBand="0" w:firstRowFirstColumn="0" w:firstRowLastColumn="0" w:lastRowFirstColumn="0" w:lastRowLastColumn="0"/>
            </w:pPr>
            <w:r>
              <w:rPr>
                <w:sz w:val="18"/>
              </w:rPr>
              <w:t>2009</w:t>
            </w:r>
          </w:p>
        </w:tc>
        <w:tc>
          <w:tcPr>
            <w:tcW w:w="1584" w:type="dxa"/>
          </w:tcPr>
          <w:p w:rsidR="000E6725" w:rsidRDefault="004B7759">
            <w:pPr>
              <w:spacing w:before="40" w:after="40" w:line="252" w:lineRule="auto"/>
              <w:jc w:val="center"/>
              <w:cnfStyle w:val="000000000000" w:firstRow="0" w:lastRow="0" w:firstColumn="0" w:lastColumn="0" w:oddVBand="0" w:evenVBand="0" w:oddHBand="0" w:evenHBand="0" w:firstRowFirstColumn="0" w:firstRowLastColumn="0" w:lastRowFirstColumn="0" w:lastRowLastColumn="0"/>
            </w:pPr>
            <w:r>
              <w:rPr>
                <w:sz w:val="18"/>
              </w:rPr>
              <w:t>61079</w:t>
            </w:r>
          </w:p>
        </w:tc>
        <w:tc>
          <w:tcPr>
            <w:tcW w:w="1440" w:type="dxa"/>
          </w:tcPr>
          <w:p w:rsidR="000E6725" w:rsidRDefault="004B7759">
            <w:pPr>
              <w:spacing w:before="40" w:after="40" w:line="252" w:lineRule="auto"/>
              <w:jc w:val="center"/>
              <w:cnfStyle w:val="000000000000" w:firstRow="0" w:lastRow="0" w:firstColumn="0" w:lastColumn="0" w:oddVBand="0" w:evenVBand="0" w:oddHBand="0" w:evenHBand="0" w:firstRowFirstColumn="0" w:firstRowLastColumn="0" w:lastRowFirstColumn="0" w:lastRowLastColumn="0"/>
            </w:pPr>
            <w:r>
              <w:rPr>
                <w:sz w:val="18"/>
              </w:rPr>
              <w:t>2.56</w:t>
            </w:r>
          </w:p>
        </w:tc>
        <w:tc>
          <w:tcPr>
            <w:tcW w:w="1440" w:type="dxa"/>
          </w:tcPr>
          <w:p w:rsidR="000E6725" w:rsidRDefault="004B7759">
            <w:pPr>
              <w:spacing w:before="40" w:after="40" w:line="252" w:lineRule="auto"/>
              <w:jc w:val="center"/>
              <w:cnfStyle w:val="000000000000" w:firstRow="0" w:lastRow="0" w:firstColumn="0" w:lastColumn="0" w:oddVBand="0" w:evenVBand="0" w:oddHBand="0" w:evenHBand="0" w:firstRowFirstColumn="0" w:firstRowLastColumn="0" w:lastRowFirstColumn="0" w:lastRowLastColumn="0"/>
            </w:pPr>
            <w:r>
              <w:rPr>
                <w:sz w:val="18"/>
              </w:rPr>
              <w:t>40.82</w:t>
            </w:r>
          </w:p>
        </w:tc>
      </w:tr>
      <w:tr w:rsidR="000E6725" w:rsidTr="00E205C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16" w:type="dxa"/>
          </w:tcPr>
          <w:p w:rsidR="000E6725" w:rsidRDefault="004B7759">
            <w:pPr>
              <w:spacing w:before="40" w:after="40" w:line="252" w:lineRule="auto"/>
              <w:jc w:val="left"/>
            </w:pPr>
            <w:r>
              <w:rPr>
                <w:sz w:val="18"/>
              </w:rPr>
              <w:t>MYC</w:t>
            </w:r>
          </w:p>
        </w:tc>
        <w:tc>
          <w:tcPr>
            <w:tcW w:w="1440" w:type="dxa"/>
          </w:tcPr>
          <w:p w:rsidR="000E6725" w:rsidRDefault="004B7759">
            <w:pPr>
              <w:spacing w:before="40" w:after="40" w:line="252" w:lineRule="auto"/>
              <w:jc w:val="center"/>
              <w:cnfStyle w:val="000000100000" w:firstRow="0" w:lastRow="0" w:firstColumn="0" w:lastColumn="0" w:oddVBand="0" w:evenVBand="0" w:oddHBand="1" w:evenHBand="0" w:firstRowFirstColumn="0" w:firstRowLastColumn="0" w:lastRowFirstColumn="0" w:lastRowLastColumn="0"/>
            </w:pPr>
            <w:r>
              <w:rPr>
                <w:sz w:val="18"/>
              </w:rPr>
              <w:t>54</w:t>
            </w:r>
          </w:p>
        </w:tc>
        <w:tc>
          <w:tcPr>
            <w:tcW w:w="1440" w:type="dxa"/>
          </w:tcPr>
          <w:p w:rsidR="000E6725" w:rsidRDefault="004B7759">
            <w:pPr>
              <w:spacing w:before="40" w:after="40" w:line="252" w:lineRule="auto"/>
              <w:jc w:val="center"/>
              <w:cnfStyle w:val="000000100000" w:firstRow="0" w:lastRow="0" w:firstColumn="0" w:lastColumn="0" w:oddVBand="0" w:evenVBand="0" w:oddHBand="1" w:evenHBand="0" w:firstRowFirstColumn="0" w:firstRowLastColumn="0" w:lastRowFirstColumn="0" w:lastRowLastColumn="0"/>
            </w:pPr>
            <w:r>
              <w:rPr>
                <w:sz w:val="18"/>
              </w:rPr>
              <w:t>2007</w:t>
            </w:r>
          </w:p>
        </w:tc>
        <w:tc>
          <w:tcPr>
            <w:tcW w:w="1584" w:type="dxa"/>
          </w:tcPr>
          <w:p w:rsidR="000E6725" w:rsidRDefault="004B7759">
            <w:pPr>
              <w:spacing w:before="40" w:after="40" w:line="252" w:lineRule="auto"/>
              <w:jc w:val="center"/>
              <w:cnfStyle w:val="000000100000" w:firstRow="0" w:lastRow="0" w:firstColumn="0" w:lastColumn="0" w:oddVBand="0" w:evenVBand="0" w:oddHBand="1" w:evenHBand="0" w:firstRowFirstColumn="0" w:firstRowLastColumn="0" w:lastRowFirstColumn="0" w:lastRowLastColumn="0"/>
            </w:pPr>
            <w:r>
              <w:rPr>
                <w:sz w:val="18"/>
              </w:rPr>
              <w:t>60903</w:t>
            </w:r>
          </w:p>
        </w:tc>
        <w:tc>
          <w:tcPr>
            <w:tcW w:w="1440" w:type="dxa"/>
          </w:tcPr>
          <w:p w:rsidR="000E6725" w:rsidRDefault="004B7759">
            <w:pPr>
              <w:spacing w:before="40" w:after="40" w:line="252" w:lineRule="auto"/>
              <w:jc w:val="center"/>
              <w:cnfStyle w:val="000000100000" w:firstRow="0" w:lastRow="0" w:firstColumn="0" w:lastColumn="0" w:oddVBand="0" w:evenVBand="0" w:oddHBand="1" w:evenHBand="0" w:firstRowFirstColumn="0" w:firstRowLastColumn="0" w:lastRowFirstColumn="0" w:lastRowLastColumn="0"/>
            </w:pPr>
            <w:r>
              <w:rPr>
                <w:sz w:val="18"/>
              </w:rPr>
              <w:t>2.92</w:t>
            </w:r>
          </w:p>
        </w:tc>
        <w:tc>
          <w:tcPr>
            <w:tcW w:w="1440" w:type="dxa"/>
          </w:tcPr>
          <w:p w:rsidR="000E6725" w:rsidRDefault="004B7759">
            <w:pPr>
              <w:spacing w:before="40" w:after="40" w:line="252" w:lineRule="auto"/>
              <w:jc w:val="center"/>
              <w:cnfStyle w:val="000000100000" w:firstRow="0" w:lastRow="0" w:firstColumn="0" w:lastColumn="0" w:oddVBand="0" w:evenVBand="0" w:oddHBand="1" w:evenHBand="0" w:firstRowFirstColumn="0" w:firstRowLastColumn="0" w:lastRowFirstColumn="0" w:lastRowLastColumn="0"/>
            </w:pPr>
            <w:r>
              <w:rPr>
                <w:sz w:val="18"/>
              </w:rPr>
              <w:t>29.59</w:t>
            </w:r>
          </w:p>
        </w:tc>
      </w:tr>
      <w:tr w:rsidR="000E6725" w:rsidTr="00E205C5">
        <w:tc>
          <w:tcPr>
            <w:cnfStyle w:val="001000000000" w:firstRow="0" w:lastRow="0" w:firstColumn="1" w:lastColumn="0" w:oddVBand="0" w:evenVBand="0" w:oddHBand="0" w:evenHBand="0" w:firstRowFirstColumn="0" w:firstRowLastColumn="0" w:lastRowFirstColumn="0" w:lastRowLastColumn="0"/>
            <w:tcW w:w="2016" w:type="dxa"/>
          </w:tcPr>
          <w:p w:rsidR="000E6725" w:rsidRDefault="004B7759">
            <w:pPr>
              <w:spacing w:before="40" w:after="40" w:line="252" w:lineRule="auto"/>
              <w:jc w:val="left"/>
            </w:pPr>
            <w:r>
              <w:rPr>
                <w:sz w:val="18"/>
              </w:rPr>
              <w:t>SP1</w:t>
            </w:r>
          </w:p>
        </w:tc>
        <w:tc>
          <w:tcPr>
            <w:tcW w:w="1440" w:type="dxa"/>
          </w:tcPr>
          <w:p w:rsidR="000E6725" w:rsidRDefault="004B7759">
            <w:pPr>
              <w:spacing w:before="40" w:after="40" w:line="252" w:lineRule="auto"/>
              <w:jc w:val="center"/>
              <w:cnfStyle w:val="000000000000" w:firstRow="0" w:lastRow="0" w:firstColumn="0" w:lastColumn="0" w:oddVBand="0" w:evenVBand="0" w:oddHBand="0" w:evenHBand="0" w:firstRowFirstColumn="0" w:firstRowLastColumn="0" w:lastRowFirstColumn="0" w:lastRowLastColumn="0"/>
            </w:pPr>
            <w:r>
              <w:rPr>
                <w:sz w:val="18"/>
              </w:rPr>
              <w:t>56</w:t>
            </w:r>
          </w:p>
        </w:tc>
        <w:tc>
          <w:tcPr>
            <w:tcW w:w="1440" w:type="dxa"/>
          </w:tcPr>
          <w:p w:rsidR="000E6725" w:rsidRDefault="004B7759">
            <w:pPr>
              <w:spacing w:before="40" w:after="40" w:line="252" w:lineRule="auto"/>
              <w:jc w:val="center"/>
              <w:cnfStyle w:val="000000000000" w:firstRow="0" w:lastRow="0" w:firstColumn="0" w:lastColumn="0" w:oddVBand="0" w:evenVBand="0" w:oddHBand="0" w:evenHBand="0" w:firstRowFirstColumn="0" w:firstRowLastColumn="0" w:lastRowFirstColumn="0" w:lastRowLastColumn="0"/>
            </w:pPr>
            <w:r>
              <w:rPr>
                <w:sz w:val="18"/>
              </w:rPr>
              <w:t>2036</w:t>
            </w:r>
          </w:p>
        </w:tc>
        <w:tc>
          <w:tcPr>
            <w:tcW w:w="1584" w:type="dxa"/>
          </w:tcPr>
          <w:p w:rsidR="000E6725" w:rsidRDefault="004B7759">
            <w:pPr>
              <w:spacing w:before="40" w:after="40" w:line="252" w:lineRule="auto"/>
              <w:jc w:val="center"/>
              <w:cnfStyle w:val="000000000000" w:firstRow="0" w:lastRow="0" w:firstColumn="0" w:lastColumn="0" w:oddVBand="0" w:evenVBand="0" w:oddHBand="0" w:evenHBand="0" w:firstRowFirstColumn="0" w:firstRowLastColumn="0" w:lastRowFirstColumn="0" w:lastRowLastColumn="0"/>
            </w:pPr>
            <w:r>
              <w:rPr>
                <w:sz w:val="18"/>
              </w:rPr>
              <w:t>59043</w:t>
            </w:r>
          </w:p>
        </w:tc>
        <w:tc>
          <w:tcPr>
            <w:tcW w:w="1440" w:type="dxa"/>
          </w:tcPr>
          <w:p w:rsidR="000E6725" w:rsidRDefault="004B7759">
            <w:pPr>
              <w:spacing w:before="40" w:after="40" w:line="252" w:lineRule="auto"/>
              <w:jc w:val="center"/>
              <w:cnfStyle w:val="000000000000" w:firstRow="0" w:lastRow="0" w:firstColumn="0" w:lastColumn="0" w:oddVBand="0" w:evenVBand="0" w:oddHBand="0" w:evenHBand="0" w:firstRowFirstColumn="0" w:firstRowLastColumn="0" w:lastRowFirstColumn="0" w:lastRowLastColumn="0"/>
            </w:pPr>
            <w:r>
              <w:rPr>
                <w:sz w:val="18"/>
              </w:rPr>
              <w:t>2.72</w:t>
            </w:r>
          </w:p>
        </w:tc>
        <w:tc>
          <w:tcPr>
            <w:tcW w:w="1440" w:type="dxa"/>
          </w:tcPr>
          <w:p w:rsidR="000E6725" w:rsidRDefault="004B7759">
            <w:pPr>
              <w:spacing w:before="40" w:after="40" w:line="252" w:lineRule="auto"/>
              <w:jc w:val="center"/>
              <w:cnfStyle w:val="000000000000" w:firstRow="0" w:lastRow="0" w:firstColumn="0" w:lastColumn="0" w:oddVBand="0" w:evenVBand="0" w:oddHBand="0" w:evenHBand="0" w:firstRowFirstColumn="0" w:firstRowLastColumn="0" w:lastRowFirstColumn="0" w:lastRowLastColumn="0"/>
            </w:pPr>
            <w:r>
              <w:rPr>
                <w:sz w:val="18"/>
              </w:rPr>
              <w:t>38.42</w:t>
            </w:r>
          </w:p>
        </w:tc>
      </w:tr>
      <w:tr w:rsidR="000E6725" w:rsidTr="00E205C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16" w:type="dxa"/>
          </w:tcPr>
          <w:p w:rsidR="000E6725" w:rsidRDefault="004B7759">
            <w:pPr>
              <w:spacing w:before="40" w:after="40" w:line="252" w:lineRule="auto"/>
              <w:jc w:val="left"/>
            </w:pPr>
            <w:r>
              <w:rPr>
                <w:sz w:val="18"/>
              </w:rPr>
              <w:t>SIN3A</w:t>
            </w:r>
          </w:p>
        </w:tc>
        <w:tc>
          <w:tcPr>
            <w:tcW w:w="1440" w:type="dxa"/>
          </w:tcPr>
          <w:p w:rsidR="000E6725" w:rsidRDefault="004B7759">
            <w:pPr>
              <w:spacing w:before="40" w:after="40" w:line="252" w:lineRule="auto"/>
              <w:jc w:val="center"/>
              <w:cnfStyle w:val="000000100000" w:firstRow="0" w:lastRow="0" w:firstColumn="0" w:lastColumn="0" w:oddVBand="0" w:evenVBand="0" w:oddHBand="1" w:evenHBand="0" w:firstRowFirstColumn="0" w:firstRowLastColumn="0" w:lastRowFirstColumn="0" w:lastRowLastColumn="0"/>
            </w:pPr>
            <w:r>
              <w:rPr>
                <w:sz w:val="18"/>
              </w:rPr>
              <w:t>50</w:t>
            </w:r>
          </w:p>
        </w:tc>
        <w:tc>
          <w:tcPr>
            <w:tcW w:w="1440" w:type="dxa"/>
          </w:tcPr>
          <w:p w:rsidR="000E6725" w:rsidRDefault="004B7759">
            <w:pPr>
              <w:spacing w:before="40" w:after="40" w:line="252" w:lineRule="auto"/>
              <w:jc w:val="center"/>
              <w:cnfStyle w:val="000000100000" w:firstRow="0" w:lastRow="0" w:firstColumn="0" w:lastColumn="0" w:oddVBand="0" w:evenVBand="0" w:oddHBand="1" w:evenHBand="0" w:firstRowFirstColumn="0" w:firstRowLastColumn="0" w:lastRowFirstColumn="0" w:lastRowLastColumn="0"/>
            </w:pPr>
            <w:r>
              <w:rPr>
                <w:sz w:val="18"/>
              </w:rPr>
              <w:t>1997</w:t>
            </w:r>
          </w:p>
        </w:tc>
        <w:tc>
          <w:tcPr>
            <w:tcW w:w="1584" w:type="dxa"/>
          </w:tcPr>
          <w:p w:rsidR="000E6725" w:rsidRDefault="004B7759">
            <w:pPr>
              <w:spacing w:before="40" w:after="40" w:line="252" w:lineRule="auto"/>
              <w:jc w:val="center"/>
              <w:cnfStyle w:val="000000100000" w:firstRow="0" w:lastRow="0" w:firstColumn="0" w:lastColumn="0" w:oddVBand="0" w:evenVBand="0" w:oddHBand="1" w:evenHBand="0" w:firstRowFirstColumn="0" w:firstRowLastColumn="0" w:lastRowFirstColumn="0" w:lastRowLastColumn="0"/>
            </w:pPr>
            <w:r>
              <w:rPr>
                <w:sz w:val="18"/>
              </w:rPr>
              <w:t>55113</w:t>
            </w:r>
          </w:p>
        </w:tc>
        <w:tc>
          <w:tcPr>
            <w:tcW w:w="1440" w:type="dxa"/>
          </w:tcPr>
          <w:p w:rsidR="000E6725" w:rsidRDefault="004B7759">
            <w:pPr>
              <w:spacing w:before="40" w:after="40" w:line="252" w:lineRule="auto"/>
              <w:jc w:val="center"/>
              <w:cnfStyle w:val="000000100000" w:firstRow="0" w:lastRow="0" w:firstColumn="0" w:lastColumn="0" w:oddVBand="0" w:evenVBand="0" w:oddHBand="1" w:evenHBand="0" w:firstRowFirstColumn="0" w:firstRowLastColumn="0" w:lastRowFirstColumn="0" w:lastRowLastColumn="0"/>
            </w:pPr>
            <w:r>
              <w:rPr>
                <w:sz w:val="18"/>
              </w:rPr>
              <w:t>3.11</w:t>
            </w:r>
          </w:p>
        </w:tc>
        <w:tc>
          <w:tcPr>
            <w:tcW w:w="1440" w:type="dxa"/>
          </w:tcPr>
          <w:p w:rsidR="000E6725" w:rsidRDefault="004B7759">
            <w:pPr>
              <w:spacing w:before="40" w:after="40" w:line="252" w:lineRule="auto"/>
              <w:jc w:val="center"/>
              <w:cnfStyle w:val="000000100000" w:firstRow="0" w:lastRow="0" w:firstColumn="0" w:lastColumn="0" w:oddVBand="0" w:evenVBand="0" w:oddHBand="1" w:evenHBand="0" w:firstRowFirstColumn="0" w:firstRowLastColumn="0" w:lastRowFirstColumn="0" w:lastRowLastColumn="0"/>
            </w:pPr>
            <w:r>
              <w:rPr>
                <w:sz w:val="18"/>
              </w:rPr>
              <w:t>34.04</w:t>
            </w:r>
          </w:p>
        </w:tc>
      </w:tr>
      <w:tr w:rsidR="000E6725" w:rsidTr="00E205C5">
        <w:tc>
          <w:tcPr>
            <w:cnfStyle w:val="001000000000" w:firstRow="0" w:lastRow="0" w:firstColumn="1" w:lastColumn="0" w:oddVBand="0" w:evenVBand="0" w:oddHBand="0" w:evenHBand="0" w:firstRowFirstColumn="0" w:firstRowLastColumn="0" w:lastRowFirstColumn="0" w:lastRowLastColumn="0"/>
            <w:tcW w:w="2016" w:type="dxa"/>
          </w:tcPr>
          <w:p w:rsidR="000E6725" w:rsidRDefault="004B7759">
            <w:pPr>
              <w:spacing w:before="40" w:after="40" w:line="252" w:lineRule="auto"/>
              <w:jc w:val="left"/>
            </w:pPr>
            <w:r>
              <w:rPr>
                <w:sz w:val="18"/>
              </w:rPr>
              <w:t>FOS</w:t>
            </w:r>
          </w:p>
        </w:tc>
        <w:tc>
          <w:tcPr>
            <w:tcW w:w="1440" w:type="dxa"/>
          </w:tcPr>
          <w:p w:rsidR="000E6725" w:rsidRDefault="004B7759">
            <w:pPr>
              <w:spacing w:before="40" w:after="40" w:line="252" w:lineRule="auto"/>
              <w:jc w:val="center"/>
              <w:cnfStyle w:val="000000000000" w:firstRow="0" w:lastRow="0" w:firstColumn="0" w:lastColumn="0" w:oddVBand="0" w:evenVBand="0" w:oddHBand="0" w:evenHBand="0" w:firstRowFirstColumn="0" w:firstRowLastColumn="0" w:lastRowFirstColumn="0" w:lastRowLastColumn="0"/>
            </w:pPr>
            <w:r>
              <w:rPr>
                <w:sz w:val="18"/>
              </w:rPr>
              <w:t>52</w:t>
            </w:r>
          </w:p>
        </w:tc>
        <w:tc>
          <w:tcPr>
            <w:tcW w:w="1440" w:type="dxa"/>
          </w:tcPr>
          <w:p w:rsidR="000E6725" w:rsidRDefault="004B7759">
            <w:pPr>
              <w:spacing w:before="40" w:after="40" w:line="252" w:lineRule="auto"/>
              <w:jc w:val="center"/>
              <w:cnfStyle w:val="000000000000" w:firstRow="0" w:lastRow="0" w:firstColumn="0" w:lastColumn="0" w:oddVBand="0" w:evenVBand="0" w:oddHBand="0" w:evenHBand="0" w:firstRowFirstColumn="0" w:firstRowLastColumn="0" w:lastRowFirstColumn="0" w:lastRowLastColumn="0"/>
            </w:pPr>
            <w:r>
              <w:rPr>
                <w:sz w:val="18"/>
              </w:rPr>
              <w:t>2030</w:t>
            </w:r>
          </w:p>
        </w:tc>
        <w:tc>
          <w:tcPr>
            <w:tcW w:w="1584" w:type="dxa"/>
          </w:tcPr>
          <w:p w:rsidR="000E6725" w:rsidRDefault="004B7759">
            <w:pPr>
              <w:spacing w:before="40" w:after="40" w:line="252" w:lineRule="auto"/>
              <w:jc w:val="center"/>
              <w:cnfStyle w:val="000000000000" w:firstRow="0" w:lastRow="0" w:firstColumn="0" w:lastColumn="0" w:oddVBand="0" w:evenVBand="0" w:oddHBand="0" w:evenHBand="0" w:firstRowFirstColumn="0" w:firstRowLastColumn="0" w:lastRowFirstColumn="0" w:lastRowLastColumn="0"/>
            </w:pPr>
            <w:r>
              <w:rPr>
                <w:sz w:val="18"/>
              </w:rPr>
              <w:t>54762</w:t>
            </w:r>
          </w:p>
        </w:tc>
        <w:tc>
          <w:tcPr>
            <w:tcW w:w="1440" w:type="dxa"/>
          </w:tcPr>
          <w:p w:rsidR="000E6725" w:rsidRDefault="004B7759">
            <w:pPr>
              <w:spacing w:before="40" w:after="40" w:line="252" w:lineRule="auto"/>
              <w:jc w:val="center"/>
              <w:cnfStyle w:val="000000000000" w:firstRow="0" w:lastRow="0" w:firstColumn="0" w:lastColumn="0" w:oddVBand="0" w:evenVBand="0" w:oddHBand="0" w:evenHBand="0" w:firstRowFirstColumn="0" w:firstRowLastColumn="0" w:lastRowFirstColumn="0" w:lastRowLastColumn="0"/>
            </w:pPr>
            <w:r>
              <w:rPr>
                <w:sz w:val="18"/>
              </w:rPr>
              <w:t>2.84</w:t>
            </w:r>
          </w:p>
        </w:tc>
        <w:tc>
          <w:tcPr>
            <w:tcW w:w="1440" w:type="dxa"/>
          </w:tcPr>
          <w:p w:rsidR="000E6725" w:rsidRDefault="004B7759">
            <w:pPr>
              <w:spacing w:before="40" w:after="40" w:line="252" w:lineRule="auto"/>
              <w:jc w:val="center"/>
              <w:cnfStyle w:val="000000000000" w:firstRow="0" w:lastRow="0" w:firstColumn="0" w:lastColumn="0" w:oddVBand="0" w:evenVBand="0" w:oddHBand="0" w:evenHBand="0" w:firstRowFirstColumn="0" w:firstRowLastColumn="0" w:lastRowFirstColumn="0" w:lastRowLastColumn="0"/>
            </w:pPr>
            <w:r>
              <w:rPr>
                <w:sz w:val="18"/>
              </w:rPr>
              <w:t>47.84</w:t>
            </w:r>
          </w:p>
        </w:tc>
      </w:tr>
    </w:tbl>
    <w:p w:rsidR="000E6725" w:rsidRDefault="004B7759">
      <w:pPr>
        <w:spacing w:before="60" w:after="200" w:line="252" w:lineRule="auto"/>
      </w:pPr>
      <w:proofErr w:type="gramStart"/>
      <w:r>
        <w:rPr>
          <w:i/>
          <w:sz w:val="19"/>
        </w:rPr>
        <w:t>Note:</w:t>
      </w:r>
      <w:proofErr w:type="gramEnd"/>
      <w:r>
        <w:rPr>
          <w:i/>
          <w:sz w:val="19"/>
        </w:rPr>
        <w:t xml:space="preserve"> Top 12 causal regulators ranked by total causal outgoing edges shown. Complete 20-regulator matrix provided in Supplementary Table 3.</w:t>
      </w:r>
    </w:p>
    <w:p w:rsidR="000E6725" w:rsidRDefault="004B7759">
      <w:pPr>
        <w:keepNext/>
        <w:spacing w:before="240" w:after="60"/>
        <w:jc w:val="left"/>
      </w:pPr>
      <w:r>
        <w:rPr>
          <w:b/>
          <w:sz w:val="25"/>
        </w:rPr>
        <w:t>3.5 Master Driver Prioritization and Oncogenic Hallmark Pathways</w:t>
      </w:r>
    </w:p>
    <w:p w:rsidR="000E6725" w:rsidRDefault="004B7759">
      <w:r>
        <w:rPr>
          <w:sz w:val="22"/>
        </w:rPr>
        <w:t>To prioritize the master regulators anchoring the TNBC regulatory network, we computed out-degree connectivity, PageRank centrality, and the Master Regulatory Score (MRS) across all 325 transcription factors (Figure 5a; Table 4). The analysis prioritized CTCF (MRS = 0.986), POLR2A (0.983), EP300 (0.809), JUND (0.806), MYC (0.768), SIN3A (0.754), SP1 (0.744), FOS (0.733), HDAC2 (0.731), and MAX (0.729). Notably, evaluating dominant effect directions revealed that while the vast majority of downstream target connections are positively shifted following CRISPRi perturbation due to compositional normalization scaling under dCas9-KRAB repression, a distinct set of 27 invariant, highly expressed housekeeping and mitochondrial transcripts (including MALAT1, MT-CO2, and BC_H1–BC_H9) showed consistent negative fold-changes across all leading drivers. Functional enrichment of downstream targets revealed significant over-representation of core oncogenic pathways (Figure 5b).</w:t>
      </w:r>
    </w:p>
    <w:p w:rsidR="000E6725" w:rsidRDefault="004B7759">
      <w:pPr>
        <w:keepNext/>
        <w:spacing w:before="120" w:after="80"/>
        <w:jc w:val="center"/>
      </w:pPr>
      <w:r>
        <w:rPr>
          <w:noProof/>
        </w:rPr>
        <w:lastRenderedPageBreak/>
        <w:drawing>
          <wp:inline distT="0" distB="0" distL="0" distR="0">
            <wp:extent cx="5669280" cy="2768348"/>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_5_Master_Driver_Prioritization.png"/>
                    <pic:cNvPicPr/>
                  </pic:nvPicPr>
                  <pic:blipFill>
                    <a:blip r:embed="rId10"/>
                    <a:stretch>
                      <a:fillRect/>
                    </a:stretch>
                  </pic:blipFill>
                  <pic:spPr>
                    <a:xfrm>
                      <a:off x="0" y="0"/>
                      <a:ext cx="5669280" cy="2768348"/>
                    </a:xfrm>
                    <a:prstGeom prst="rect">
                      <a:avLst/>
                    </a:prstGeom>
                  </pic:spPr>
                </pic:pic>
              </a:graphicData>
            </a:graphic>
          </wp:inline>
        </w:drawing>
      </w:r>
    </w:p>
    <w:p w:rsidR="000E6725" w:rsidRDefault="004B7759">
      <w:pPr>
        <w:spacing w:before="60" w:after="240"/>
      </w:pPr>
      <w:r>
        <w:rPr>
          <w:b/>
          <w:sz w:val="20"/>
        </w:rPr>
        <w:t xml:space="preserve">Figure </w:t>
      </w:r>
      <w:proofErr w:type="gramStart"/>
      <w:r>
        <w:rPr>
          <w:b/>
          <w:sz w:val="20"/>
        </w:rPr>
        <w:t>5</w:t>
      </w:r>
      <w:proofErr w:type="gramEnd"/>
      <w:r>
        <w:rPr>
          <w:b/>
          <w:sz w:val="20"/>
        </w:rPr>
        <w:t xml:space="preserve"> | Master driver prioritization and phenotypic hallmark pathway enrichment in TNBC. </w:t>
      </w:r>
      <w:proofErr w:type="gramStart"/>
      <w:r>
        <w:rPr>
          <w:sz w:val="20"/>
        </w:rPr>
        <w:t>a</w:t>
      </w:r>
      <w:proofErr w:type="gramEnd"/>
      <w:r>
        <w:rPr>
          <w:sz w:val="20"/>
        </w:rPr>
        <w:t xml:space="preserve">, </w:t>
      </w:r>
      <w:proofErr w:type="spellStart"/>
      <w:r>
        <w:rPr>
          <w:sz w:val="20"/>
        </w:rPr>
        <w:t>MSigDB</w:t>
      </w:r>
      <w:proofErr w:type="spellEnd"/>
      <w:r>
        <w:rPr>
          <w:sz w:val="20"/>
        </w:rPr>
        <w:t xml:space="preserve"> Hallmark pathway enrichment analysis of downstream causal regulons governed by prioritized master transcription factors. Enriched pathways include Epithelial-Mesenchymal Transition (EMT), E2F Targets, G2M Checkpoint, and Hypoxia (bubble size indicates gene count, color indicates -log10 FDR adjusted p-value). </w:t>
      </w:r>
      <w:proofErr w:type="gramStart"/>
      <w:r>
        <w:rPr>
          <w:sz w:val="20"/>
        </w:rPr>
        <w:t>b</w:t>
      </w:r>
      <w:proofErr w:type="gramEnd"/>
      <w:r>
        <w:rPr>
          <w:sz w:val="20"/>
        </w:rPr>
        <w:t xml:space="preserve">, Network centrality vs causal regulatory weight scatter plot for prioritized transcriptional drivers. Master regulators (CTCF, POLR2A, EP300, JUND, MYC, FOS, HDAC2, MAX) </w:t>
      </w:r>
      <w:proofErr w:type="gramStart"/>
      <w:r>
        <w:rPr>
          <w:sz w:val="20"/>
        </w:rPr>
        <w:t>are identified</w:t>
      </w:r>
      <w:proofErr w:type="gramEnd"/>
      <w:r>
        <w:rPr>
          <w:sz w:val="20"/>
        </w:rPr>
        <w:t xml:space="preserve"> with dynamic text repulsion (</w:t>
      </w:r>
      <w:proofErr w:type="spellStart"/>
      <w:r>
        <w:rPr>
          <w:sz w:val="20"/>
        </w:rPr>
        <w:t>adjustText</w:t>
      </w:r>
      <w:proofErr w:type="spellEnd"/>
      <w:r>
        <w:rPr>
          <w:sz w:val="20"/>
        </w:rPr>
        <w:t>) to prevent label overlap.</w:t>
      </w:r>
    </w:p>
    <w:p w:rsidR="000E6725" w:rsidRDefault="004B7759">
      <w:pPr>
        <w:keepNext/>
        <w:spacing w:before="200" w:after="40"/>
        <w:jc w:val="left"/>
      </w:pPr>
      <w:r>
        <w:rPr>
          <w:b/>
          <w:sz w:val="21"/>
        </w:rPr>
        <w:t>Table 4. Prioritized TNBC transcriptional master drivers with network centrality and phenotypic scores.</w:t>
      </w:r>
    </w:p>
    <w:tbl>
      <w:tblPr>
        <w:tblStyle w:val="PlainTable2"/>
        <w:tblW w:w="0" w:type="auto"/>
        <w:tblLook w:val="04A0" w:firstRow="1" w:lastRow="0" w:firstColumn="1" w:lastColumn="0" w:noHBand="0" w:noVBand="1"/>
      </w:tblPr>
      <w:tblGrid>
        <w:gridCol w:w="1416"/>
        <w:gridCol w:w="1160"/>
        <w:gridCol w:w="1340"/>
        <w:gridCol w:w="1584"/>
        <w:gridCol w:w="1230"/>
        <w:gridCol w:w="1462"/>
        <w:gridCol w:w="1168"/>
      </w:tblGrid>
      <w:tr w:rsidR="000E6725" w:rsidTr="00E205C5">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84" w:type="dxa"/>
          </w:tcPr>
          <w:p w:rsidR="000E6725" w:rsidRDefault="004B7759">
            <w:pPr>
              <w:spacing w:before="40" w:after="40" w:line="252" w:lineRule="auto"/>
              <w:jc w:val="center"/>
            </w:pPr>
            <w:r>
              <w:rPr>
                <w:sz w:val="19"/>
              </w:rPr>
              <w:t>Driver TF</w:t>
            </w:r>
          </w:p>
        </w:tc>
        <w:tc>
          <w:tcPr>
            <w:tcW w:w="1296" w:type="dxa"/>
          </w:tcPr>
          <w:p w:rsidR="000E6725" w:rsidRDefault="004B7759">
            <w:pPr>
              <w:spacing w:before="40" w:after="40" w:line="252" w:lineRule="auto"/>
              <w:jc w:val="center"/>
              <w:cnfStyle w:val="100000000000" w:firstRow="1" w:lastRow="0" w:firstColumn="0" w:lastColumn="0" w:oddVBand="0" w:evenVBand="0" w:oddHBand="0" w:evenHBand="0" w:firstRowFirstColumn="0" w:firstRowLastColumn="0" w:lastRowFirstColumn="0" w:lastRowLastColumn="0"/>
            </w:pPr>
            <w:r>
              <w:rPr>
                <w:sz w:val="19"/>
              </w:rPr>
              <w:t>Target Genes</w:t>
            </w:r>
          </w:p>
        </w:tc>
        <w:tc>
          <w:tcPr>
            <w:tcW w:w="1440" w:type="dxa"/>
          </w:tcPr>
          <w:p w:rsidR="000E6725" w:rsidRDefault="004B7759">
            <w:pPr>
              <w:spacing w:before="40" w:after="40" w:line="252" w:lineRule="auto"/>
              <w:jc w:val="center"/>
              <w:cnfStyle w:val="100000000000" w:firstRow="1" w:lastRow="0" w:firstColumn="0" w:lastColumn="0" w:oddVBand="0" w:evenVBand="0" w:oddHBand="0" w:evenHBand="0" w:firstRowFirstColumn="0" w:firstRowLastColumn="0" w:lastRowFirstColumn="0" w:lastRowLastColumn="0"/>
            </w:pPr>
            <w:r>
              <w:rPr>
                <w:sz w:val="19"/>
              </w:rPr>
              <w:t>PageRank</w:t>
            </w:r>
          </w:p>
        </w:tc>
        <w:tc>
          <w:tcPr>
            <w:tcW w:w="1728" w:type="dxa"/>
          </w:tcPr>
          <w:p w:rsidR="000E6725" w:rsidRDefault="004B7759">
            <w:pPr>
              <w:spacing w:before="40" w:after="40" w:line="252" w:lineRule="auto"/>
              <w:jc w:val="center"/>
              <w:cnfStyle w:val="100000000000" w:firstRow="1" w:lastRow="0" w:firstColumn="0" w:lastColumn="0" w:oddVBand="0" w:evenVBand="0" w:oddHBand="0" w:evenHBand="0" w:firstRowFirstColumn="0" w:firstRowLastColumn="0" w:lastRowFirstColumn="0" w:lastRowLastColumn="0"/>
            </w:pPr>
            <w:r>
              <w:rPr>
                <w:sz w:val="19"/>
              </w:rPr>
              <w:t>Cumulative Weight</w:t>
            </w:r>
          </w:p>
        </w:tc>
        <w:tc>
          <w:tcPr>
            <w:tcW w:w="1152" w:type="dxa"/>
          </w:tcPr>
          <w:p w:rsidR="000E6725" w:rsidRDefault="004B7759">
            <w:pPr>
              <w:spacing w:before="40" w:after="40" w:line="252" w:lineRule="auto"/>
              <w:jc w:val="center"/>
              <w:cnfStyle w:val="100000000000" w:firstRow="1" w:lastRow="0" w:firstColumn="0" w:lastColumn="0" w:oddVBand="0" w:evenVBand="0" w:oddHBand="0" w:evenHBand="0" w:firstRowFirstColumn="0" w:firstRowLastColumn="0" w:lastRowFirstColumn="0" w:lastRowLastColumn="0"/>
            </w:pPr>
            <w:r>
              <w:rPr>
                <w:sz w:val="19"/>
              </w:rPr>
              <w:t>Upregulated</w:t>
            </w:r>
          </w:p>
        </w:tc>
        <w:tc>
          <w:tcPr>
            <w:tcW w:w="1152" w:type="dxa"/>
          </w:tcPr>
          <w:p w:rsidR="000E6725" w:rsidRDefault="004B7759">
            <w:pPr>
              <w:spacing w:before="40" w:after="40" w:line="252" w:lineRule="auto"/>
              <w:jc w:val="center"/>
              <w:cnfStyle w:val="100000000000" w:firstRow="1" w:lastRow="0" w:firstColumn="0" w:lastColumn="0" w:oddVBand="0" w:evenVBand="0" w:oddHBand="0" w:evenHBand="0" w:firstRowFirstColumn="0" w:firstRowLastColumn="0" w:lastRowFirstColumn="0" w:lastRowLastColumn="0"/>
            </w:pPr>
            <w:r>
              <w:rPr>
                <w:sz w:val="19"/>
              </w:rPr>
              <w:t>Downregulated</w:t>
            </w:r>
          </w:p>
        </w:tc>
        <w:tc>
          <w:tcPr>
            <w:tcW w:w="1296" w:type="dxa"/>
          </w:tcPr>
          <w:p w:rsidR="000E6725" w:rsidRDefault="004B7759">
            <w:pPr>
              <w:spacing w:before="40" w:after="40" w:line="252" w:lineRule="auto"/>
              <w:jc w:val="center"/>
              <w:cnfStyle w:val="100000000000" w:firstRow="1" w:lastRow="0" w:firstColumn="0" w:lastColumn="0" w:oddVBand="0" w:evenVBand="0" w:oddHBand="0" w:evenHBand="0" w:firstRowFirstColumn="0" w:firstRowLastColumn="0" w:lastRowFirstColumn="0" w:lastRowLastColumn="0"/>
            </w:pPr>
            <w:r>
              <w:rPr>
                <w:sz w:val="19"/>
              </w:rPr>
              <w:t>Master Score</w:t>
            </w:r>
          </w:p>
        </w:tc>
      </w:tr>
      <w:tr w:rsidR="000E6725" w:rsidTr="00E205C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84" w:type="dxa"/>
          </w:tcPr>
          <w:p w:rsidR="000E6725" w:rsidRDefault="004B7759">
            <w:pPr>
              <w:spacing w:before="40" w:after="40" w:line="252" w:lineRule="auto"/>
              <w:jc w:val="left"/>
            </w:pPr>
            <w:r>
              <w:rPr>
                <w:sz w:val="18"/>
              </w:rPr>
              <w:t>CTCF</w:t>
            </w:r>
          </w:p>
        </w:tc>
        <w:tc>
          <w:tcPr>
            <w:tcW w:w="1296" w:type="dxa"/>
          </w:tcPr>
          <w:p w:rsidR="000E6725" w:rsidRDefault="004B7759">
            <w:pPr>
              <w:spacing w:before="40" w:after="40" w:line="252" w:lineRule="auto"/>
              <w:jc w:val="center"/>
              <w:cnfStyle w:val="000000100000" w:firstRow="0" w:lastRow="0" w:firstColumn="0" w:lastColumn="0" w:oddVBand="0" w:evenVBand="0" w:oddHBand="1" w:evenHBand="0" w:firstRowFirstColumn="0" w:firstRowLastColumn="0" w:lastRowFirstColumn="0" w:lastRowLastColumn="0"/>
            </w:pPr>
            <w:r>
              <w:rPr>
                <w:sz w:val="18"/>
              </w:rPr>
              <w:t>2228</w:t>
            </w:r>
          </w:p>
        </w:tc>
        <w:tc>
          <w:tcPr>
            <w:tcW w:w="1440" w:type="dxa"/>
          </w:tcPr>
          <w:p w:rsidR="000E6725" w:rsidRDefault="004B7759">
            <w:pPr>
              <w:spacing w:before="40" w:after="40" w:line="252" w:lineRule="auto"/>
              <w:jc w:val="center"/>
              <w:cnfStyle w:val="000000100000" w:firstRow="0" w:lastRow="0" w:firstColumn="0" w:lastColumn="0" w:oddVBand="0" w:evenVBand="0" w:oddHBand="1" w:evenHBand="0" w:firstRowFirstColumn="0" w:firstRowLastColumn="0" w:lastRowFirstColumn="0" w:lastRowLastColumn="0"/>
            </w:pPr>
            <w:r>
              <w:rPr>
                <w:sz w:val="18"/>
              </w:rPr>
              <w:t>0.000329</w:t>
            </w:r>
          </w:p>
        </w:tc>
        <w:tc>
          <w:tcPr>
            <w:tcW w:w="1728" w:type="dxa"/>
          </w:tcPr>
          <w:p w:rsidR="000E6725" w:rsidRDefault="004B7759">
            <w:pPr>
              <w:spacing w:before="40" w:after="40" w:line="252" w:lineRule="auto"/>
              <w:jc w:val="center"/>
              <w:cnfStyle w:val="000000100000" w:firstRow="0" w:lastRow="0" w:firstColumn="0" w:lastColumn="0" w:oddVBand="0" w:evenVBand="0" w:oddHBand="1" w:evenHBand="0" w:firstRowFirstColumn="0" w:firstRowLastColumn="0" w:lastRowFirstColumn="0" w:lastRowLastColumn="0"/>
            </w:pPr>
            <w:r>
              <w:rPr>
                <w:sz w:val="18"/>
              </w:rPr>
              <w:t>272,518.4</w:t>
            </w:r>
          </w:p>
        </w:tc>
        <w:tc>
          <w:tcPr>
            <w:tcW w:w="1152" w:type="dxa"/>
          </w:tcPr>
          <w:p w:rsidR="000E6725" w:rsidRDefault="004B7759">
            <w:pPr>
              <w:spacing w:before="40" w:after="40" w:line="252" w:lineRule="auto"/>
              <w:jc w:val="center"/>
              <w:cnfStyle w:val="000000100000" w:firstRow="0" w:lastRow="0" w:firstColumn="0" w:lastColumn="0" w:oddVBand="0" w:evenVBand="0" w:oddHBand="1" w:evenHBand="0" w:firstRowFirstColumn="0" w:firstRowLastColumn="0" w:lastRowFirstColumn="0" w:lastRowLastColumn="0"/>
            </w:pPr>
            <w:r>
              <w:rPr>
                <w:sz w:val="18"/>
              </w:rPr>
              <w:t>2201</w:t>
            </w:r>
          </w:p>
        </w:tc>
        <w:tc>
          <w:tcPr>
            <w:tcW w:w="1152" w:type="dxa"/>
          </w:tcPr>
          <w:p w:rsidR="000E6725" w:rsidRDefault="004B7759">
            <w:pPr>
              <w:spacing w:before="40" w:after="40" w:line="252" w:lineRule="auto"/>
              <w:jc w:val="center"/>
              <w:cnfStyle w:val="000000100000" w:firstRow="0" w:lastRow="0" w:firstColumn="0" w:lastColumn="0" w:oddVBand="0" w:evenVBand="0" w:oddHBand="1" w:evenHBand="0" w:firstRowFirstColumn="0" w:firstRowLastColumn="0" w:lastRowFirstColumn="0" w:lastRowLastColumn="0"/>
            </w:pPr>
            <w:r>
              <w:rPr>
                <w:sz w:val="18"/>
              </w:rPr>
              <w:t>27</w:t>
            </w:r>
          </w:p>
        </w:tc>
        <w:tc>
          <w:tcPr>
            <w:tcW w:w="1296" w:type="dxa"/>
          </w:tcPr>
          <w:p w:rsidR="000E6725" w:rsidRDefault="004B7759">
            <w:pPr>
              <w:spacing w:before="40" w:after="40" w:line="252" w:lineRule="auto"/>
              <w:jc w:val="center"/>
              <w:cnfStyle w:val="000000100000" w:firstRow="0" w:lastRow="0" w:firstColumn="0" w:lastColumn="0" w:oddVBand="0" w:evenVBand="0" w:oddHBand="1" w:evenHBand="0" w:firstRowFirstColumn="0" w:firstRowLastColumn="0" w:lastRowFirstColumn="0" w:lastRowLastColumn="0"/>
            </w:pPr>
            <w:r>
              <w:rPr>
                <w:sz w:val="18"/>
              </w:rPr>
              <w:t>0.9861</w:t>
            </w:r>
          </w:p>
        </w:tc>
      </w:tr>
      <w:tr w:rsidR="000E6725" w:rsidTr="00E205C5">
        <w:tc>
          <w:tcPr>
            <w:cnfStyle w:val="001000000000" w:firstRow="0" w:lastRow="0" w:firstColumn="1" w:lastColumn="0" w:oddVBand="0" w:evenVBand="0" w:oddHBand="0" w:evenHBand="0" w:firstRowFirstColumn="0" w:firstRowLastColumn="0" w:lastRowFirstColumn="0" w:lastRowLastColumn="0"/>
            <w:tcW w:w="1584" w:type="dxa"/>
          </w:tcPr>
          <w:p w:rsidR="000E6725" w:rsidRDefault="004B7759">
            <w:pPr>
              <w:spacing w:before="40" w:after="40" w:line="252" w:lineRule="auto"/>
              <w:jc w:val="left"/>
            </w:pPr>
            <w:r>
              <w:rPr>
                <w:sz w:val="18"/>
              </w:rPr>
              <w:t>POLR2A</w:t>
            </w:r>
          </w:p>
        </w:tc>
        <w:tc>
          <w:tcPr>
            <w:tcW w:w="1296" w:type="dxa"/>
          </w:tcPr>
          <w:p w:rsidR="000E6725" w:rsidRDefault="004B7759">
            <w:pPr>
              <w:spacing w:before="40" w:after="40" w:line="252" w:lineRule="auto"/>
              <w:jc w:val="center"/>
              <w:cnfStyle w:val="000000000000" w:firstRow="0" w:lastRow="0" w:firstColumn="0" w:lastColumn="0" w:oddVBand="0" w:evenVBand="0" w:oddHBand="0" w:evenHBand="0" w:firstRowFirstColumn="0" w:firstRowLastColumn="0" w:lastRowFirstColumn="0" w:lastRowLastColumn="0"/>
            </w:pPr>
            <w:r>
              <w:rPr>
                <w:sz w:val="18"/>
              </w:rPr>
              <w:t>2151</w:t>
            </w:r>
          </w:p>
        </w:tc>
        <w:tc>
          <w:tcPr>
            <w:tcW w:w="1440" w:type="dxa"/>
          </w:tcPr>
          <w:p w:rsidR="000E6725" w:rsidRDefault="004B7759">
            <w:pPr>
              <w:spacing w:before="40" w:after="40" w:line="252" w:lineRule="auto"/>
              <w:jc w:val="center"/>
              <w:cnfStyle w:val="000000000000" w:firstRow="0" w:lastRow="0" w:firstColumn="0" w:lastColumn="0" w:oddVBand="0" w:evenVBand="0" w:oddHBand="0" w:evenHBand="0" w:firstRowFirstColumn="0" w:firstRowLastColumn="0" w:lastRowFirstColumn="0" w:lastRowLastColumn="0"/>
            </w:pPr>
            <w:r>
              <w:rPr>
                <w:sz w:val="18"/>
              </w:rPr>
              <w:t>0.000329</w:t>
            </w:r>
          </w:p>
        </w:tc>
        <w:tc>
          <w:tcPr>
            <w:tcW w:w="1728" w:type="dxa"/>
          </w:tcPr>
          <w:p w:rsidR="000E6725" w:rsidRDefault="004B7759">
            <w:pPr>
              <w:spacing w:before="40" w:after="40" w:line="252" w:lineRule="auto"/>
              <w:jc w:val="center"/>
              <w:cnfStyle w:val="000000000000" w:firstRow="0" w:lastRow="0" w:firstColumn="0" w:lastColumn="0" w:oddVBand="0" w:evenVBand="0" w:oddHBand="0" w:evenHBand="0" w:firstRowFirstColumn="0" w:firstRowLastColumn="0" w:lastRowFirstColumn="0" w:lastRowLastColumn="0"/>
            </w:pPr>
            <w:r>
              <w:rPr>
                <w:sz w:val="18"/>
              </w:rPr>
              <w:t>280,330.4</w:t>
            </w:r>
          </w:p>
        </w:tc>
        <w:tc>
          <w:tcPr>
            <w:tcW w:w="1152" w:type="dxa"/>
          </w:tcPr>
          <w:p w:rsidR="000E6725" w:rsidRDefault="004B7759">
            <w:pPr>
              <w:spacing w:before="40" w:after="40" w:line="252" w:lineRule="auto"/>
              <w:jc w:val="center"/>
              <w:cnfStyle w:val="000000000000" w:firstRow="0" w:lastRow="0" w:firstColumn="0" w:lastColumn="0" w:oddVBand="0" w:evenVBand="0" w:oddHBand="0" w:evenHBand="0" w:firstRowFirstColumn="0" w:firstRowLastColumn="0" w:lastRowFirstColumn="0" w:lastRowLastColumn="0"/>
            </w:pPr>
            <w:r>
              <w:rPr>
                <w:sz w:val="18"/>
              </w:rPr>
              <w:t>2124</w:t>
            </w:r>
          </w:p>
        </w:tc>
        <w:tc>
          <w:tcPr>
            <w:tcW w:w="1152" w:type="dxa"/>
          </w:tcPr>
          <w:p w:rsidR="000E6725" w:rsidRDefault="004B7759">
            <w:pPr>
              <w:spacing w:before="40" w:after="40" w:line="252" w:lineRule="auto"/>
              <w:jc w:val="center"/>
              <w:cnfStyle w:val="000000000000" w:firstRow="0" w:lastRow="0" w:firstColumn="0" w:lastColumn="0" w:oddVBand="0" w:evenVBand="0" w:oddHBand="0" w:evenHBand="0" w:firstRowFirstColumn="0" w:firstRowLastColumn="0" w:lastRowFirstColumn="0" w:lastRowLastColumn="0"/>
            </w:pPr>
            <w:r>
              <w:rPr>
                <w:sz w:val="18"/>
              </w:rPr>
              <w:t>27</w:t>
            </w:r>
          </w:p>
        </w:tc>
        <w:tc>
          <w:tcPr>
            <w:tcW w:w="1296" w:type="dxa"/>
          </w:tcPr>
          <w:p w:rsidR="000E6725" w:rsidRDefault="004B7759">
            <w:pPr>
              <w:spacing w:before="40" w:after="40" w:line="252" w:lineRule="auto"/>
              <w:jc w:val="center"/>
              <w:cnfStyle w:val="000000000000" w:firstRow="0" w:lastRow="0" w:firstColumn="0" w:lastColumn="0" w:oddVBand="0" w:evenVBand="0" w:oddHBand="0" w:evenHBand="0" w:firstRowFirstColumn="0" w:firstRowLastColumn="0" w:lastRowFirstColumn="0" w:lastRowLastColumn="0"/>
            </w:pPr>
            <w:r>
              <w:rPr>
                <w:sz w:val="18"/>
              </w:rPr>
              <w:t>0.9827</w:t>
            </w:r>
          </w:p>
        </w:tc>
      </w:tr>
      <w:tr w:rsidR="000E6725" w:rsidTr="00E205C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84" w:type="dxa"/>
          </w:tcPr>
          <w:p w:rsidR="000E6725" w:rsidRDefault="004B7759">
            <w:pPr>
              <w:spacing w:before="40" w:after="40" w:line="252" w:lineRule="auto"/>
              <w:jc w:val="left"/>
            </w:pPr>
            <w:r>
              <w:rPr>
                <w:sz w:val="18"/>
              </w:rPr>
              <w:t>EP300</w:t>
            </w:r>
          </w:p>
        </w:tc>
        <w:tc>
          <w:tcPr>
            <w:tcW w:w="1296" w:type="dxa"/>
          </w:tcPr>
          <w:p w:rsidR="000E6725" w:rsidRDefault="004B7759">
            <w:pPr>
              <w:spacing w:before="40" w:after="40" w:line="252" w:lineRule="auto"/>
              <w:jc w:val="center"/>
              <w:cnfStyle w:val="000000100000" w:firstRow="0" w:lastRow="0" w:firstColumn="0" w:lastColumn="0" w:oddVBand="0" w:evenVBand="0" w:oddHBand="1" w:evenHBand="0" w:firstRowFirstColumn="0" w:firstRowLastColumn="0" w:lastRowFirstColumn="0" w:lastRowLastColumn="0"/>
            </w:pPr>
            <w:r>
              <w:rPr>
                <w:sz w:val="18"/>
              </w:rPr>
              <w:t>2078</w:t>
            </w:r>
          </w:p>
        </w:tc>
        <w:tc>
          <w:tcPr>
            <w:tcW w:w="1440" w:type="dxa"/>
          </w:tcPr>
          <w:p w:rsidR="000E6725" w:rsidRDefault="004B7759">
            <w:pPr>
              <w:spacing w:before="40" w:after="40" w:line="252" w:lineRule="auto"/>
              <w:jc w:val="center"/>
              <w:cnfStyle w:val="000000100000" w:firstRow="0" w:lastRow="0" w:firstColumn="0" w:lastColumn="0" w:oddVBand="0" w:evenVBand="0" w:oddHBand="1" w:evenHBand="0" w:firstRowFirstColumn="0" w:firstRowLastColumn="0" w:lastRowFirstColumn="0" w:lastRowLastColumn="0"/>
            </w:pPr>
            <w:r>
              <w:rPr>
                <w:sz w:val="18"/>
              </w:rPr>
              <w:t>0.000329</w:t>
            </w:r>
          </w:p>
        </w:tc>
        <w:tc>
          <w:tcPr>
            <w:tcW w:w="1728" w:type="dxa"/>
          </w:tcPr>
          <w:p w:rsidR="000E6725" w:rsidRDefault="004B7759">
            <w:pPr>
              <w:spacing w:before="40" w:after="40" w:line="252" w:lineRule="auto"/>
              <w:jc w:val="center"/>
              <w:cnfStyle w:val="000000100000" w:firstRow="0" w:lastRow="0" w:firstColumn="0" w:lastColumn="0" w:oddVBand="0" w:evenVBand="0" w:oddHBand="1" w:evenHBand="0" w:firstRowFirstColumn="0" w:firstRowLastColumn="0" w:lastRowFirstColumn="0" w:lastRowLastColumn="0"/>
            </w:pPr>
            <w:r>
              <w:rPr>
                <w:sz w:val="18"/>
              </w:rPr>
              <w:t>191,912.5</w:t>
            </w:r>
          </w:p>
        </w:tc>
        <w:tc>
          <w:tcPr>
            <w:tcW w:w="1152" w:type="dxa"/>
          </w:tcPr>
          <w:p w:rsidR="000E6725" w:rsidRDefault="004B7759">
            <w:pPr>
              <w:spacing w:before="40" w:after="40" w:line="252" w:lineRule="auto"/>
              <w:jc w:val="center"/>
              <w:cnfStyle w:val="000000100000" w:firstRow="0" w:lastRow="0" w:firstColumn="0" w:lastColumn="0" w:oddVBand="0" w:evenVBand="0" w:oddHBand="1" w:evenHBand="0" w:firstRowFirstColumn="0" w:firstRowLastColumn="0" w:lastRowFirstColumn="0" w:lastRowLastColumn="0"/>
            </w:pPr>
            <w:r>
              <w:rPr>
                <w:sz w:val="18"/>
              </w:rPr>
              <w:t>2051</w:t>
            </w:r>
          </w:p>
        </w:tc>
        <w:tc>
          <w:tcPr>
            <w:tcW w:w="1152" w:type="dxa"/>
          </w:tcPr>
          <w:p w:rsidR="000E6725" w:rsidRDefault="004B7759">
            <w:pPr>
              <w:spacing w:before="40" w:after="40" w:line="252" w:lineRule="auto"/>
              <w:jc w:val="center"/>
              <w:cnfStyle w:val="000000100000" w:firstRow="0" w:lastRow="0" w:firstColumn="0" w:lastColumn="0" w:oddVBand="0" w:evenVBand="0" w:oddHBand="1" w:evenHBand="0" w:firstRowFirstColumn="0" w:firstRowLastColumn="0" w:lastRowFirstColumn="0" w:lastRowLastColumn="0"/>
            </w:pPr>
            <w:r>
              <w:rPr>
                <w:sz w:val="18"/>
              </w:rPr>
              <w:t>27</w:t>
            </w:r>
          </w:p>
        </w:tc>
        <w:tc>
          <w:tcPr>
            <w:tcW w:w="1296" w:type="dxa"/>
          </w:tcPr>
          <w:p w:rsidR="000E6725" w:rsidRDefault="004B7759">
            <w:pPr>
              <w:spacing w:before="40" w:after="40" w:line="252" w:lineRule="auto"/>
              <w:jc w:val="center"/>
              <w:cnfStyle w:val="000000100000" w:firstRow="0" w:lastRow="0" w:firstColumn="0" w:lastColumn="0" w:oddVBand="0" w:evenVBand="0" w:oddHBand="1" w:evenHBand="0" w:firstRowFirstColumn="0" w:firstRowLastColumn="0" w:lastRowFirstColumn="0" w:lastRowLastColumn="0"/>
            </w:pPr>
            <w:r>
              <w:rPr>
                <w:sz w:val="18"/>
              </w:rPr>
              <w:t>0.8086</w:t>
            </w:r>
          </w:p>
        </w:tc>
      </w:tr>
      <w:tr w:rsidR="000E6725" w:rsidTr="00E205C5">
        <w:tc>
          <w:tcPr>
            <w:cnfStyle w:val="001000000000" w:firstRow="0" w:lastRow="0" w:firstColumn="1" w:lastColumn="0" w:oddVBand="0" w:evenVBand="0" w:oddHBand="0" w:evenHBand="0" w:firstRowFirstColumn="0" w:firstRowLastColumn="0" w:lastRowFirstColumn="0" w:lastRowLastColumn="0"/>
            <w:tcW w:w="1584" w:type="dxa"/>
          </w:tcPr>
          <w:p w:rsidR="000E6725" w:rsidRDefault="004B7759">
            <w:pPr>
              <w:spacing w:before="40" w:after="40" w:line="252" w:lineRule="auto"/>
              <w:jc w:val="left"/>
            </w:pPr>
            <w:r>
              <w:rPr>
                <w:sz w:val="18"/>
              </w:rPr>
              <w:t>JUND</w:t>
            </w:r>
          </w:p>
        </w:tc>
        <w:tc>
          <w:tcPr>
            <w:tcW w:w="1296" w:type="dxa"/>
          </w:tcPr>
          <w:p w:rsidR="000E6725" w:rsidRDefault="004B7759">
            <w:pPr>
              <w:spacing w:before="40" w:after="40" w:line="252" w:lineRule="auto"/>
              <w:jc w:val="center"/>
              <w:cnfStyle w:val="000000000000" w:firstRow="0" w:lastRow="0" w:firstColumn="0" w:lastColumn="0" w:oddVBand="0" w:evenVBand="0" w:oddHBand="0" w:evenHBand="0" w:firstRowFirstColumn="0" w:firstRowLastColumn="0" w:lastRowFirstColumn="0" w:lastRowLastColumn="0"/>
            </w:pPr>
            <w:r>
              <w:rPr>
                <w:sz w:val="18"/>
              </w:rPr>
              <w:t>2103</w:t>
            </w:r>
          </w:p>
        </w:tc>
        <w:tc>
          <w:tcPr>
            <w:tcW w:w="1440" w:type="dxa"/>
          </w:tcPr>
          <w:p w:rsidR="000E6725" w:rsidRDefault="004B7759">
            <w:pPr>
              <w:spacing w:before="40" w:after="40" w:line="252" w:lineRule="auto"/>
              <w:jc w:val="center"/>
              <w:cnfStyle w:val="000000000000" w:firstRow="0" w:lastRow="0" w:firstColumn="0" w:lastColumn="0" w:oddVBand="0" w:evenVBand="0" w:oddHBand="0" w:evenHBand="0" w:firstRowFirstColumn="0" w:firstRowLastColumn="0" w:lastRowFirstColumn="0" w:lastRowLastColumn="0"/>
            </w:pPr>
            <w:r>
              <w:rPr>
                <w:sz w:val="18"/>
              </w:rPr>
              <w:t>0.000372</w:t>
            </w:r>
          </w:p>
        </w:tc>
        <w:tc>
          <w:tcPr>
            <w:tcW w:w="1728" w:type="dxa"/>
          </w:tcPr>
          <w:p w:rsidR="000E6725" w:rsidRDefault="004B7759">
            <w:pPr>
              <w:spacing w:before="40" w:after="40" w:line="252" w:lineRule="auto"/>
              <w:jc w:val="center"/>
              <w:cnfStyle w:val="000000000000" w:firstRow="0" w:lastRow="0" w:firstColumn="0" w:lastColumn="0" w:oddVBand="0" w:evenVBand="0" w:oddHBand="0" w:evenHBand="0" w:firstRowFirstColumn="0" w:firstRowLastColumn="0" w:lastRowFirstColumn="0" w:lastRowLastColumn="0"/>
            </w:pPr>
            <w:r>
              <w:rPr>
                <w:sz w:val="18"/>
              </w:rPr>
              <w:t>187,335.6</w:t>
            </w:r>
          </w:p>
        </w:tc>
        <w:tc>
          <w:tcPr>
            <w:tcW w:w="1152" w:type="dxa"/>
          </w:tcPr>
          <w:p w:rsidR="000E6725" w:rsidRDefault="004B7759">
            <w:pPr>
              <w:spacing w:before="40" w:after="40" w:line="252" w:lineRule="auto"/>
              <w:jc w:val="center"/>
              <w:cnfStyle w:val="000000000000" w:firstRow="0" w:lastRow="0" w:firstColumn="0" w:lastColumn="0" w:oddVBand="0" w:evenVBand="0" w:oddHBand="0" w:evenHBand="0" w:firstRowFirstColumn="0" w:firstRowLastColumn="0" w:lastRowFirstColumn="0" w:lastRowLastColumn="0"/>
            </w:pPr>
            <w:r>
              <w:rPr>
                <w:sz w:val="18"/>
              </w:rPr>
              <w:t>2076</w:t>
            </w:r>
          </w:p>
        </w:tc>
        <w:tc>
          <w:tcPr>
            <w:tcW w:w="1152" w:type="dxa"/>
          </w:tcPr>
          <w:p w:rsidR="000E6725" w:rsidRDefault="004B7759">
            <w:pPr>
              <w:spacing w:before="40" w:after="40" w:line="252" w:lineRule="auto"/>
              <w:jc w:val="center"/>
              <w:cnfStyle w:val="000000000000" w:firstRow="0" w:lastRow="0" w:firstColumn="0" w:lastColumn="0" w:oddVBand="0" w:evenVBand="0" w:oddHBand="0" w:evenHBand="0" w:firstRowFirstColumn="0" w:firstRowLastColumn="0" w:lastRowFirstColumn="0" w:lastRowLastColumn="0"/>
            </w:pPr>
            <w:r>
              <w:rPr>
                <w:sz w:val="18"/>
              </w:rPr>
              <w:t>27</w:t>
            </w:r>
          </w:p>
        </w:tc>
        <w:tc>
          <w:tcPr>
            <w:tcW w:w="1296" w:type="dxa"/>
          </w:tcPr>
          <w:p w:rsidR="000E6725" w:rsidRDefault="004B7759">
            <w:pPr>
              <w:spacing w:before="40" w:after="40" w:line="252" w:lineRule="auto"/>
              <w:jc w:val="center"/>
              <w:cnfStyle w:val="000000000000" w:firstRow="0" w:lastRow="0" w:firstColumn="0" w:lastColumn="0" w:oddVBand="0" w:evenVBand="0" w:oddHBand="0" w:evenHBand="0" w:firstRowFirstColumn="0" w:firstRowLastColumn="0" w:lastRowFirstColumn="0" w:lastRowLastColumn="0"/>
            </w:pPr>
            <w:r>
              <w:rPr>
                <w:sz w:val="18"/>
              </w:rPr>
              <w:t>0.8061</w:t>
            </w:r>
          </w:p>
        </w:tc>
      </w:tr>
      <w:tr w:rsidR="000E6725" w:rsidTr="00E205C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84" w:type="dxa"/>
          </w:tcPr>
          <w:p w:rsidR="000E6725" w:rsidRDefault="004B7759">
            <w:pPr>
              <w:spacing w:before="40" w:after="40" w:line="252" w:lineRule="auto"/>
              <w:jc w:val="left"/>
            </w:pPr>
            <w:r>
              <w:rPr>
                <w:sz w:val="18"/>
              </w:rPr>
              <w:t>MYC</w:t>
            </w:r>
          </w:p>
        </w:tc>
        <w:tc>
          <w:tcPr>
            <w:tcW w:w="1296" w:type="dxa"/>
          </w:tcPr>
          <w:p w:rsidR="000E6725" w:rsidRDefault="004B7759">
            <w:pPr>
              <w:spacing w:before="40" w:after="40" w:line="252" w:lineRule="auto"/>
              <w:jc w:val="center"/>
              <w:cnfStyle w:val="000000100000" w:firstRow="0" w:lastRow="0" w:firstColumn="0" w:lastColumn="0" w:oddVBand="0" w:evenVBand="0" w:oddHBand="1" w:evenHBand="0" w:firstRowFirstColumn="0" w:firstRowLastColumn="0" w:lastRowFirstColumn="0" w:lastRowLastColumn="0"/>
            </w:pPr>
            <w:r>
              <w:rPr>
                <w:sz w:val="18"/>
              </w:rPr>
              <w:t>2007</w:t>
            </w:r>
          </w:p>
        </w:tc>
        <w:tc>
          <w:tcPr>
            <w:tcW w:w="1440" w:type="dxa"/>
          </w:tcPr>
          <w:p w:rsidR="000E6725" w:rsidRDefault="004B7759">
            <w:pPr>
              <w:spacing w:before="40" w:after="40" w:line="252" w:lineRule="auto"/>
              <w:jc w:val="center"/>
              <w:cnfStyle w:val="000000100000" w:firstRow="0" w:lastRow="0" w:firstColumn="0" w:lastColumn="0" w:oddVBand="0" w:evenVBand="0" w:oddHBand="1" w:evenHBand="0" w:firstRowFirstColumn="0" w:firstRowLastColumn="0" w:lastRowFirstColumn="0" w:lastRowLastColumn="0"/>
            </w:pPr>
            <w:r>
              <w:rPr>
                <w:sz w:val="18"/>
              </w:rPr>
              <w:t>0.000330</w:t>
            </w:r>
          </w:p>
        </w:tc>
        <w:tc>
          <w:tcPr>
            <w:tcW w:w="1728" w:type="dxa"/>
          </w:tcPr>
          <w:p w:rsidR="000E6725" w:rsidRDefault="004B7759">
            <w:pPr>
              <w:spacing w:before="40" w:after="40" w:line="252" w:lineRule="auto"/>
              <w:jc w:val="center"/>
              <w:cnfStyle w:val="000000100000" w:firstRow="0" w:lastRow="0" w:firstColumn="0" w:lastColumn="0" w:oddVBand="0" w:evenVBand="0" w:oddHBand="1" w:evenHBand="0" w:firstRowFirstColumn="0" w:firstRowLastColumn="0" w:lastRowFirstColumn="0" w:lastRowLastColumn="0"/>
            </w:pPr>
            <w:r>
              <w:rPr>
                <w:sz w:val="18"/>
              </w:rPr>
              <w:t>177,786.0</w:t>
            </w:r>
          </w:p>
        </w:tc>
        <w:tc>
          <w:tcPr>
            <w:tcW w:w="1152" w:type="dxa"/>
          </w:tcPr>
          <w:p w:rsidR="000E6725" w:rsidRDefault="004B7759">
            <w:pPr>
              <w:spacing w:before="40" w:after="40" w:line="252" w:lineRule="auto"/>
              <w:jc w:val="center"/>
              <w:cnfStyle w:val="000000100000" w:firstRow="0" w:lastRow="0" w:firstColumn="0" w:lastColumn="0" w:oddVBand="0" w:evenVBand="0" w:oddHBand="1" w:evenHBand="0" w:firstRowFirstColumn="0" w:firstRowLastColumn="0" w:lastRowFirstColumn="0" w:lastRowLastColumn="0"/>
            </w:pPr>
            <w:r>
              <w:rPr>
                <w:sz w:val="18"/>
              </w:rPr>
              <w:t>1980</w:t>
            </w:r>
          </w:p>
        </w:tc>
        <w:tc>
          <w:tcPr>
            <w:tcW w:w="1152" w:type="dxa"/>
          </w:tcPr>
          <w:p w:rsidR="000E6725" w:rsidRDefault="004B7759">
            <w:pPr>
              <w:spacing w:before="40" w:after="40" w:line="252" w:lineRule="auto"/>
              <w:jc w:val="center"/>
              <w:cnfStyle w:val="000000100000" w:firstRow="0" w:lastRow="0" w:firstColumn="0" w:lastColumn="0" w:oddVBand="0" w:evenVBand="0" w:oddHBand="1" w:evenHBand="0" w:firstRowFirstColumn="0" w:firstRowLastColumn="0" w:lastRowFirstColumn="0" w:lastRowLastColumn="0"/>
            </w:pPr>
            <w:r>
              <w:rPr>
                <w:sz w:val="18"/>
              </w:rPr>
              <w:t>27</w:t>
            </w:r>
          </w:p>
        </w:tc>
        <w:tc>
          <w:tcPr>
            <w:tcW w:w="1296" w:type="dxa"/>
          </w:tcPr>
          <w:p w:rsidR="000E6725" w:rsidRDefault="004B7759">
            <w:pPr>
              <w:spacing w:before="40" w:after="40" w:line="252" w:lineRule="auto"/>
              <w:jc w:val="center"/>
              <w:cnfStyle w:val="000000100000" w:firstRow="0" w:lastRow="0" w:firstColumn="0" w:lastColumn="0" w:oddVBand="0" w:evenVBand="0" w:oddHBand="1" w:evenHBand="0" w:firstRowFirstColumn="0" w:firstRowLastColumn="0" w:lastRowFirstColumn="0" w:lastRowLastColumn="0"/>
            </w:pPr>
            <w:r>
              <w:rPr>
                <w:sz w:val="18"/>
              </w:rPr>
              <w:t>0.7675</w:t>
            </w:r>
          </w:p>
        </w:tc>
      </w:tr>
      <w:tr w:rsidR="000E6725" w:rsidTr="00E205C5">
        <w:tc>
          <w:tcPr>
            <w:cnfStyle w:val="001000000000" w:firstRow="0" w:lastRow="0" w:firstColumn="1" w:lastColumn="0" w:oddVBand="0" w:evenVBand="0" w:oddHBand="0" w:evenHBand="0" w:firstRowFirstColumn="0" w:firstRowLastColumn="0" w:lastRowFirstColumn="0" w:lastRowLastColumn="0"/>
            <w:tcW w:w="1584" w:type="dxa"/>
          </w:tcPr>
          <w:p w:rsidR="000E6725" w:rsidRDefault="004B7759">
            <w:pPr>
              <w:spacing w:before="40" w:after="40" w:line="252" w:lineRule="auto"/>
              <w:jc w:val="left"/>
            </w:pPr>
            <w:r>
              <w:rPr>
                <w:sz w:val="18"/>
              </w:rPr>
              <w:t>SIN3A</w:t>
            </w:r>
          </w:p>
        </w:tc>
        <w:tc>
          <w:tcPr>
            <w:tcW w:w="1296" w:type="dxa"/>
          </w:tcPr>
          <w:p w:rsidR="000E6725" w:rsidRDefault="004B7759">
            <w:pPr>
              <w:spacing w:before="40" w:after="40" w:line="252" w:lineRule="auto"/>
              <w:jc w:val="center"/>
              <w:cnfStyle w:val="000000000000" w:firstRow="0" w:lastRow="0" w:firstColumn="0" w:lastColumn="0" w:oddVBand="0" w:evenVBand="0" w:oddHBand="0" w:evenHBand="0" w:firstRowFirstColumn="0" w:firstRowLastColumn="0" w:lastRowFirstColumn="0" w:lastRowLastColumn="0"/>
            </w:pPr>
            <w:r>
              <w:rPr>
                <w:sz w:val="18"/>
              </w:rPr>
              <w:t>1997</w:t>
            </w:r>
          </w:p>
        </w:tc>
        <w:tc>
          <w:tcPr>
            <w:tcW w:w="1440" w:type="dxa"/>
          </w:tcPr>
          <w:p w:rsidR="000E6725" w:rsidRDefault="004B7759">
            <w:pPr>
              <w:spacing w:before="40" w:after="40" w:line="252" w:lineRule="auto"/>
              <w:jc w:val="center"/>
              <w:cnfStyle w:val="000000000000" w:firstRow="0" w:lastRow="0" w:firstColumn="0" w:lastColumn="0" w:oddVBand="0" w:evenVBand="0" w:oddHBand="0" w:evenHBand="0" w:firstRowFirstColumn="0" w:firstRowLastColumn="0" w:lastRowFirstColumn="0" w:lastRowLastColumn="0"/>
            </w:pPr>
            <w:r>
              <w:rPr>
                <w:sz w:val="18"/>
              </w:rPr>
              <w:t>0.000329</w:t>
            </w:r>
          </w:p>
        </w:tc>
        <w:tc>
          <w:tcPr>
            <w:tcW w:w="1728" w:type="dxa"/>
          </w:tcPr>
          <w:p w:rsidR="000E6725" w:rsidRDefault="004B7759">
            <w:pPr>
              <w:spacing w:before="40" w:after="40" w:line="252" w:lineRule="auto"/>
              <w:jc w:val="center"/>
              <w:cnfStyle w:val="000000000000" w:firstRow="0" w:lastRow="0" w:firstColumn="0" w:lastColumn="0" w:oddVBand="0" w:evenVBand="0" w:oddHBand="0" w:evenHBand="0" w:firstRowFirstColumn="0" w:firstRowLastColumn="0" w:lastRowFirstColumn="0" w:lastRowLastColumn="0"/>
            </w:pPr>
            <w:r>
              <w:rPr>
                <w:sz w:val="18"/>
              </w:rPr>
              <w:t>171,489.5</w:t>
            </w:r>
          </w:p>
        </w:tc>
        <w:tc>
          <w:tcPr>
            <w:tcW w:w="1152" w:type="dxa"/>
          </w:tcPr>
          <w:p w:rsidR="000E6725" w:rsidRDefault="004B7759">
            <w:pPr>
              <w:spacing w:before="40" w:after="40" w:line="252" w:lineRule="auto"/>
              <w:jc w:val="center"/>
              <w:cnfStyle w:val="000000000000" w:firstRow="0" w:lastRow="0" w:firstColumn="0" w:lastColumn="0" w:oddVBand="0" w:evenVBand="0" w:oddHBand="0" w:evenHBand="0" w:firstRowFirstColumn="0" w:firstRowLastColumn="0" w:lastRowFirstColumn="0" w:lastRowLastColumn="0"/>
            </w:pPr>
            <w:r>
              <w:rPr>
                <w:sz w:val="18"/>
              </w:rPr>
              <w:t>1970</w:t>
            </w:r>
          </w:p>
        </w:tc>
        <w:tc>
          <w:tcPr>
            <w:tcW w:w="1152" w:type="dxa"/>
          </w:tcPr>
          <w:p w:rsidR="000E6725" w:rsidRDefault="004B7759">
            <w:pPr>
              <w:spacing w:before="40" w:after="40" w:line="252" w:lineRule="auto"/>
              <w:jc w:val="center"/>
              <w:cnfStyle w:val="000000000000" w:firstRow="0" w:lastRow="0" w:firstColumn="0" w:lastColumn="0" w:oddVBand="0" w:evenVBand="0" w:oddHBand="0" w:evenHBand="0" w:firstRowFirstColumn="0" w:firstRowLastColumn="0" w:lastRowFirstColumn="0" w:lastRowLastColumn="0"/>
            </w:pPr>
            <w:r>
              <w:rPr>
                <w:sz w:val="18"/>
              </w:rPr>
              <w:t>27</w:t>
            </w:r>
          </w:p>
        </w:tc>
        <w:tc>
          <w:tcPr>
            <w:tcW w:w="1296" w:type="dxa"/>
          </w:tcPr>
          <w:p w:rsidR="000E6725" w:rsidRDefault="004B7759">
            <w:pPr>
              <w:spacing w:before="40" w:after="40" w:line="252" w:lineRule="auto"/>
              <w:jc w:val="center"/>
              <w:cnfStyle w:val="000000000000" w:firstRow="0" w:lastRow="0" w:firstColumn="0" w:lastColumn="0" w:oddVBand="0" w:evenVBand="0" w:oddHBand="0" w:evenHBand="0" w:firstRowFirstColumn="0" w:firstRowLastColumn="0" w:lastRowFirstColumn="0" w:lastRowLastColumn="0"/>
            </w:pPr>
            <w:r>
              <w:rPr>
                <w:sz w:val="18"/>
              </w:rPr>
              <w:t>0.7540</w:t>
            </w:r>
          </w:p>
        </w:tc>
      </w:tr>
      <w:tr w:rsidR="000E6725" w:rsidTr="00E205C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84" w:type="dxa"/>
          </w:tcPr>
          <w:p w:rsidR="000E6725" w:rsidRDefault="004B7759">
            <w:pPr>
              <w:spacing w:before="40" w:after="40" w:line="252" w:lineRule="auto"/>
              <w:jc w:val="left"/>
            </w:pPr>
            <w:r>
              <w:rPr>
                <w:sz w:val="18"/>
              </w:rPr>
              <w:t>SP1</w:t>
            </w:r>
          </w:p>
        </w:tc>
        <w:tc>
          <w:tcPr>
            <w:tcW w:w="1296" w:type="dxa"/>
          </w:tcPr>
          <w:p w:rsidR="000E6725" w:rsidRDefault="004B7759">
            <w:pPr>
              <w:spacing w:before="40" w:after="40" w:line="252" w:lineRule="auto"/>
              <w:jc w:val="center"/>
              <w:cnfStyle w:val="000000100000" w:firstRow="0" w:lastRow="0" w:firstColumn="0" w:lastColumn="0" w:oddVBand="0" w:evenVBand="0" w:oddHBand="1" w:evenHBand="0" w:firstRowFirstColumn="0" w:firstRowLastColumn="0" w:lastRowFirstColumn="0" w:lastRowLastColumn="0"/>
            </w:pPr>
            <w:r>
              <w:rPr>
                <w:sz w:val="18"/>
              </w:rPr>
              <w:t>2036</w:t>
            </w:r>
          </w:p>
        </w:tc>
        <w:tc>
          <w:tcPr>
            <w:tcW w:w="1440" w:type="dxa"/>
          </w:tcPr>
          <w:p w:rsidR="000E6725" w:rsidRDefault="004B7759">
            <w:pPr>
              <w:spacing w:before="40" w:after="40" w:line="252" w:lineRule="auto"/>
              <w:jc w:val="center"/>
              <w:cnfStyle w:val="000000100000" w:firstRow="0" w:lastRow="0" w:firstColumn="0" w:lastColumn="0" w:oddVBand="0" w:evenVBand="0" w:oddHBand="1" w:evenHBand="0" w:firstRowFirstColumn="0" w:firstRowLastColumn="0" w:lastRowFirstColumn="0" w:lastRowLastColumn="0"/>
            </w:pPr>
            <w:r>
              <w:rPr>
                <w:sz w:val="18"/>
              </w:rPr>
              <w:t>0.000329</w:t>
            </w:r>
          </w:p>
        </w:tc>
        <w:tc>
          <w:tcPr>
            <w:tcW w:w="1728" w:type="dxa"/>
          </w:tcPr>
          <w:p w:rsidR="000E6725" w:rsidRDefault="004B7759">
            <w:pPr>
              <w:spacing w:before="40" w:after="40" w:line="252" w:lineRule="auto"/>
              <w:jc w:val="center"/>
              <w:cnfStyle w:val="000000100000" w:firstRow="0" w:lastRow="0" w:firstColumn="0" w:lastColumn="0" w:oddVBand="0" w:evenVBand="0" w:oddHBand="1" w:evenHBand="0" w:firstRowFirstColumn="0" w:firstRowLastColumn="0" w:lastRowFirstColumn="0" w:lastRowLastColumn="0"/>
            </w:pPr>
            <w:r>
              <w:rPr>
                <w:sz w:val="18"/>
              </w:rPr>
              <w:t>160,854.3</w:t>
            </w:r>
          </w:p>
        </w:tc>
        <w:tc>
          <w:tcPr>
            <w:tcW w:w="1152" w:type="dxa"/>
          </w:tcPr>
          <w:p w:rsidR="000E6725" w:rsidRDefault="004B7759">
            <w:pPr>
              <w:spacing w:before="40" w:after="40" w:line="252" w:lineRule="auto"/>
              <w:jc w:val="center"/>
              <w:cnfStyle w:val="000000100000" w:firstRow="0" w:lastRow="0" w:firstColumn="0" w:lastColumn="0" w:oddVBand="0" w:evenVBand="0" w:oddHBand="1" w:evenHBand="0" w:firstRowFirstColumn="0" w:firstRowLastColumn="0" w:lastRowFirstColumn="0" w:lastRowLastColumn="0"/>
            </w:pPr>
            <w:r>
              <w:rPr>
                <w:sz w:val="18"/>
              </w:rPr>
              <w:t>2009</w:t>
            </w:r>
          </w:p>
        </w:tc>
        <w:tc>
          <w:tcPr>
            <w:tcW w:w="1152" w:type="dxa"/>
          </w:tcPr>
          <w:p w:rsidR="000E6725" w:rsidRDefault="004B7759">
            <w:pPr>
              <w:spacing w:before="40" w:after="40" w:line="252" w:lineRule="auto"/>
              <w:jc w:val="center"/>
              <w:cnfStyle w:val="000000100000" w:firstRow="0" w:lastRow="0" w:firstColumn="0" w:lastColumn="0" w:oddVBand="0" w:evenVBand="0" w:oddHBand="1" w:evenHBand="0" w:firstRowFirstColumn="0" w:firstRowLastColumn="0" w:lastRowFirstColumn="0" w:lastRowLastColumn="0"/>
            </w:pPr>
            <w:r>
              <w:rPr>
                <w:sz w:val="18"/>
              </w:rPr>
              <w:t>27</w:t>
            </w:r>
          </w:p>
        </w:tc>
        <w:tc>
          <w:tcPr>
            <w:tcW w:w="1296" w:type="dxa"/>
          </w:tcPr>
          <w:p w:rsidR="000E6725" w:rsidRDefault="004B7759">
            <w:pPr>
              <w:spacing w:before="40" w:after="40" w:line="252" w:lineRule="auto"/>
              <w:jc w:val="center"/>
              <w:cnfStyle w:val="000000100000" w:firstRow="0" w:lastRow="0" w:firstColumn="0" w:lastColumn="0" w:oddVBand="0" w:evenVBand="0" w:oddHBand="1" w:evenHBand="0" w:firstRowFirstColumn="0" w:firstRowLastColumn="0" w:lastRowFirstColumn="0" w:lastRowLastColumn="0"/>
            </w:pPr>
            <w:r>
              <w:rPr>
                <w:sz w:val="18"/>
              </w:rPr>
              <w:t>0.7438</w:t>
            </w:r>
          </w:p>
        </w:tc>
      </w:tr>
      <w:tr w:rsidR="000E6725" w:rsidTr="00E205C5">
        <w:tc>
          <w:tcPr>
            <w:cnfStyle w:val="001000000000" w:firstRow="0" w:lastRow="0" w:firstColumn="1" w:lastColumn="0" w:oddVBand="0" w:evenVBand="0" w:oddHBand="0" w:evenHBand="0" w:firstRowFirstColumn="0" w:firstRowLastColumn="0" w:lastRowFirstColumn="0" w:lastRowLastColumn="0"/>
            <w:tcW w:w="1584" w:type="dxa"/>
          </w:tcPr>
          <w:p w:rsidR="000E6725" w:rsidRDefault="004B7759">
            <w:pPr>
              <w:spacing w:before="40" w:after="40" w:line="252" w:lineRule="auto"/>
              <w:jc w:val="left"/>
            </w:pPr>
            <w:r>
              <w:rPr>
                <w:sz w:val="18"/>
              </w:rPr>
              <w:t>FOS</w:t>
            </w:r>
          </w:p>
        </w:tc>
        <w:tc>
          <w:tcPr>
            <w:tcW w:w="1296" w:type="dxa"/>
          </w:tcPr>
          <w:p w:rsidR="000E6725" w:rsidRDefault="004B7759">
            <w:pPr>
              <w:spacing w:before="40" w:after="40" w:line="252" w:lineRule="auto"/>
              <w:jc w:val="center"/>
              <w:cnfStyle w:val="000000000000" w:firstRow="0" w:lastRow="0" w:firstColumn="0" w:lastColumn="0" w:oddVBand="0" w:evenVBand="0" w:oddHBand="0" w:evenHBand="0" w:firstRowFirstColumn="0" w:firstRowLastColumn="0" w:lastRowFirstColumn="0" w:lastRowLastColumn="0"/>
            </w:pPr>
            <w:r>
              <w:rPr>
                <w:sz w:val="18"/>
              </w:rPr>
              <w:t>2030</w:t>
            </w:r>
          </w:p>
        </w:tc>
        <w:tc>
          <w:tcPr>
            <w:tcW w:w="1440" w:type="dxa"/>
          </w:tcPr>
          <w:p w:rsidR="000E6725" w:rsidRDefault="004B7759">
            <w:pPr>
              <w:spacing w:before="40" w:after="40" w:line="252" w:lineRule="auto"/>
              <w:jc w:val="center"/>
              <w:cnfStyle w:val="000000000000" w:firstRow="0" w:lastRow="0" w:firstColumn="0" w:lastColumn="0" w:oddVBand="0" w:evenVBand="0" w:oddHBand="0" w:evenHBand="0" w:firstRowFirstColumn="0" w:firstRowLastColumn="0" w:lastRowFirstColumn="0" w:lastRowLastColumn="0"/>
            </w:pPr>
            <w:r>
              <w:rPr>
                <w:sz w:val="18"/>
              </w:rPr>
              <w:t>0.000329</w:t>
            </w:r>
          </w:p>
        </w:tc>
        <w:tc>
          <w:tcPr>
            <w:tcW w:w="1728" w:type="dxa"/>
          </w:tcPr>
          <w:p w:rsidR="000E6725" w:rsidRDefault="004B7759">
            <w:pPr>
              <w:spacing w:before="40" w:after="40" w:line="252" w:lineRule="auto"/>
              <w:jc w:val="center"/>
              <w:cnfStyle w:val="000000000000" w:firstRow="0" w:lastRow="0" w:firstColumn="0" w:lastColumn="0" w:oddVBand="0" w:evenVBand="0" w:oddHBand="0" w:evenHBand="0" w:firstRowFirstColumn="0" w:firstRowLastColumn="0" w:lastRowFirstColumn="0" w:lastRowLastColumn="0"/>
            </w:pPr>
            <w:r>
              <w:rPr>
                <w:sz w:val="18"/>
              </w:rPr>
              <w:t>155,256.3</w:t>
            </w:r>
          </w:p>
        </w:tc>
        <w:tc>
          <w:tcPr>
            <w:tcW w:w="1152" w:type="dxa"/>
          </w:tcPr>
          <w:p w:rsidR="000E6725" w:rsidRDefault="004B7759">
            <w:pPr>
              <w:spacing w:before="40" w:after="40" w:line="252" w:lineRule="auto"/>
              <w:jc w:val="center"/>
              <w:cnfStyle w:val="000000000000" w:firstRow="0" w:lastRow="0" w:firstColumn="0" w:lastColumn="0" w:oddVBand="0" w:evenVBand="0" w:oddHBand="0" w:evenHBand="0" w:firstRowFirstColumn="0" w:firstRowLastColumn="0" w:lastRowFirstColumn="0" w:lastRowLastColumn="0"/>
            </w:pPr>
            <w:r>
              <w:rPr>
                <w:sz w:val="18"/>
              </w:rPr>
              <w:t>2003</w:t>
            </w:r>
          </w:p>
        </w:tc>
        <w:tc>
          <w:tcPr>
            <w:tcW w:w="1152" w:type="dxa"/>
          </w:tcPr>
          <w:p w:rsidR="000E6725" w:rsidRDefault="004B7759">
            <w:pPr>
              <w:spacing w:before="40" w:after="40" w:line="252" w:lineRule="auto"/>
              <w:jc w:val="center"/>
              <w:cnfStyle w:val="000000000000" w:firstRow="0" w:lastRow="0" w:firstColumn="0" w:lastColumn="0" w:oddVBand="0" w:evenVBand="0" w:oddHBand="0" w:evenHBand="0" w:firstRowFirstColumn="0" w:firstRowLastColumn="0" w:lastRowFirstColumn="0" w:lastRowLastColumn="0"/>
            </w:pPr>
            <w:r>
              <w:rPr>
                <w:sz w:val="18"/>
              </w:rPr>
              <w:t>27</w:t>
            </w:r>
          </w:p>
        </w:tc>
        <w:tc>
          <w:tcPr>
            <w:tcW w:w="1296" w:type="dxa"/>
          </w:tcPr>
          <w:p w:rsidR="000E6725" w:rsidRDefault="004B7759">
            <w:pPr>
              <w:spacing w:before="40" w:after="40" w:line="252" w:lineRule="auto"/>
              <w:jc w:val="center"/>
              <w:cnfStyle w:val="000000000000" w:firstRow="0" w:lastRow="0" w:firstColumn="0" w:lastColumn="0" w:oddVBand="0" w:evenVBand="0" w:oddHBand="0" w:evenHBand="0" w:firstRowFirstColumn="0" w:firstRowLastColumn="0" w:lastRowFirstColumn="0" w:lastRowLastColumn="0"/>
            </w:pPr>
            <w:r>
              <w:rPr>
                <w:sz w:val="18"/>
              </w:rPr>
              <w:t>0.7325</w:t>
            </w:r>
          </w:p>
        </w:tc>
      </w:tr>
      <w:tr w:rsidR="000E6725" w:rsidTr="00E205C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84" w:type="dxa"/>
          </w:tcPr>
          <w:p w:rsidR="000E6725" w:rsidRDefault="004B7759">
            <w:pPr>
              <w:spacing w:before="40" w:after="40" w:line="252" w:lineRule="auto"/>
              <w:jc w:val="left"/>
            </w:pPr>
            <w:r>
              <w:rPr>
                <w:sz w:val="18"/>
              </w:rPr>
              <w:t>HDAC2</w:t>
            </w:r>
          </w:p>
        </w:tc>
        <w:tc>
          <w:tcPr>
            <w:tcW w:w="1296" w:type="dxa"/>
          </w:tcPr>
          <w:p w:rsidR="000E6725" w:rsidRDefault="004B7759">
            <w:pPr>
              <w:spacing w:before="40" w:after="40" w:line="252" w:lineRule="auto"/>
              <w:jc w:val="center"/>
              <w:cnfStyle w:val="000000100000" w:firstRow="0" w:lastRow="0" w:firstColumn="0" w:lastColumn="0" w:oddVBand="0" w:evenVBand="0" w:oddHBand="1" w:evenHBand="0" w:firstRowFirstColumn="0" w:firstRowLastColumn="0" w:lastRowFirstColumn="0" w:lastRowLastColumn="0"/>
            </w:pPr>
            <w:r>
              <w:rPr>
                <w:sz w:val="18"/>
              </w:rPr>
              <w:t>2003</w:t>
            </w:r>
          </w:p>
        </w:tc>
        <w:tc>
          <w:tcPr>
            <w:tcW w:w="1440" w:type="dxa"/>
          </w:tcPr>
          <w:p w:rsidR="000E6725" w:rsidRDefault="004B7759">
            <w:pPr>
              <w:spacing w:before="40" w:after="40" w:line="252" w:lineRule="auto"/>
              <w:jc w:val="center"/>
              <w:cnfStyle w:val="000000100000" w:firstRow="0" w:lastRow="0" w:firstColumn="0" w:lastColumn="0" w:oddVBand="0" w:evenVBand="0" w:oddHBand="1" w:evenHBand="0" w:firstRowFirstColumn="0" w:firstRowLastColumn="0" w:lastRowFirstColumn="0" w:lastRowLastColumn="0"/>
            </w:pPr>
            <w:r>
              <w:rPr>
                <w:sz w:val="18"/>
              </w:rPr>
              <w:t>0.000361</w:t>
            </w:r>
          </w:p>
        </w:tc>
        <w:tc>
          <w:tcPr>
            <w:tcW w:w="1728" w:type="dxa"/>
          </w:tcPr>
          <w:p w:rsidR="000E6725" w:rsidRDefault="004B7759">
            <w:pPr>
              <w:spacing w:before="40" w:after="40" w:line="252" w:lineRule="auto"/>
              <w:jc w:val="center"/>
              <w:cnfStyle w:val="000000100000" w:firstRow="0" w:lastRow="0" w:firstColumn="0" w:lastColumn="0" w:oddVBand="0" w:evenVBand="0" w:oddHBand="1" w:evenHBand="0" w:firstRowFirstColumn="0" w:firstRowLastColumn="0" w:lastRowFirstColumn="0" w:lastRowLastColumn="0"/>
            </w:pPr>
            <w:r>
              <w:rPr>
                <w:sz w:val="18"/>
              </w:rPr>
              <w:t>158,059.2</w:t>
            </w:r>
          </w:p>
        </w:tc>
        <w:tc>
          <w:tcPr>
            <w:tcW w:w="1152" w:type="dxa"/>
          </w:tcPr>
          <w:p w:rsidR="000E6725" w:rsidRDefault="004B7759">
            <w:pPr>
              <w:spacing w:before="40" w:after="40" w:line="252" w:lineRule="auto"/>
              <w:jc w:val="center"/>
              <w:cnfStyle w:val="000000100000" w:firstRow="0" w:lastRow="0" w:firstColumn="0" w:lastColumn="0" w:oddVBand="0" w:evenVBand="0" w:oddHBand="1" w:evenHBand="0" w:firstRowFirstColumn="0" w:firstRowLastColumn="0" w:lastRowFirstColumn="0" w:lastRowLastColumn="0"/>
            </w:pPr>
            <w:r>
              <w:rPr>
                <w:sz w:val="18"/>
              </w:rPr>
              <w:t>1976</w:t>
            </w:r>
          </w:p>
        </w:tc>
        <w:tc>
          <w:tcPr>
            <w:tcW w:w="1152" w:type="dxa"/>
          </w:tcPr>
          <w:p w:rsidR="000E6725" w:rsidRDefault="004B7759">
            <w:pPr>
              <w:spacing w:before="40" w:after="40" w:line="252" w:lineRule="auto"/>
              <w:jc w:val="center"/>
              <w:cnfStyle w:val="000000100000" w:firstRow="0" w:lastRow="0" w:firstColumn="0" w:lastColumn="0" w:oddVBand="0" w:evenVBand="0" w:oddHBand="1" w:evenHBand="0" w:firstRowFirstColumn="0" w:firstRowLastColumn="0" w:lastRowFirstColumn="0" w:lastRowLastColumn="0"/>
            </w:pPr>
            <w:r>
              <w:rPr>
                <w:sz w:val="18"/>
              </w:rPr>
              <w:t>27</w:t>
            </w:r>
          </w:p>
        </w:tc>
        <w:tc>
          <w:tcPr>
            <w:tcW w:w="1296" w:type="dxa"/>
          </w:tcPr>
          <w:p w:rsidR="000E6725" w:rsidRDefault="004B7759">
            <w:pPr>
              <w:spacing w:before="40" w:after="40" w:line="252" w:lineRule="auto"/>
              <w:jc w:val="center"/>
              <w:cnfStyle w:val="000000100000" w:firstRow="0" w:lastRow="0" w:firstColumn="0" w:lastColumn="0" w:oddVBand="0" w:evenVBand="0" w:oddHBand="1" w:evenHBand="0" w:firstRowFirstColumn="0" w:firstRowLastColumn="0" w:lastRowFirstColumn="0" w:lastRowLastColumn="0"/>
            </w:pPr>
            <w:r>
              <w:rPr>
                <w:sz w:val="18"/>
              </w:rPr>
              <w:t>0.7314</w:t>
            </w:r>
          </w:p>
        </w:tc>
      </w:tr>
      <w:tr w:rsidR="000E6725" w:rsidTr="00E205C5">
        <w:tc>
          <w:tcPr>
            <w:cnfStyle w:val="001000000000" w:firstRow="0" w:lastRow="0" w:firstColumn="1" w:lastColumn="0" w:oddVBand="0" w:evenVBand="0" w:oddHBand="0" w:evenHBand="0" w:firstRowFirstColumn="0" w:firstRowLastColumn="0" w:lastRowFirstColumn="0" w:lastRowLastColumn="0"/>
            <w:tcW w:w="1584" w:type="dxa"/>
          </w:tcPr>
          <w:p w:rsidR="000E6725" w:rsidRDefault="004B7759">
            <w:pPr>
              <w:spacing w:before="40" w:after="40" w:line="252" w:lineRule="auto"/>
              <w:jc w:val="left"/>
            </w:pPr>
            <w:r>
              <w:rPr>
                <w:sz w:val="18"/>
              </w:rPr>
              <w:t>MAX</w:t>
            </w:r>
          </w:p>
        </w:tc>
        <w:tc>
          <w:tcPr>
            <w:tcW w:w="1296" w:type="dxa"/>
          </w:tcPr>
          <w:p w:rsidR="000E6725" w:rsidRDefault="004B7759">
            <w:pPr>
              <w:spacing w:before="40" w:after="40" w:line="252" w:lineRule="auto"/>
              <w:jc w:val="center"/>
              <w:cnfStyle w:val="000000000000" w:firstRow="0" w:lastRow="0" w:firstColumn="0" w:lastColumn="0" w:oddVBand="0" w:evenVBand="0" w:oddHBand="0" w:evenHBand="0" w:firstRowFirstColumn="0" w:firstRowLastColumn="0" w:lastRowFirstColumn="0" w:lastRowLastColumn="0"/>
            </w:pPr>
            <w:r>
              <w:rPr>
                <w:sz w:val="18"/>
              </w:rPr>
              <w:t>2009</w:t>
            </w:r>
          </w:p>
        </w:tc>
        <w:tc>
          <w:tcPr>
            <w:tcW w:w="1440" w:type="dxa"/>
          </w:tcPr>
          <w:p w:rsidR="000E6725" w:rsidRDefault="004B7759">
            <w:pPr>
              <w:spacing w:before="40" w:after="40" w:line="252" w:lineRule="auto"/>
              <w:jc w:val="center"/>
              <w:cnfStyle w:val="000000000000" w:firstRow="0" w:lastRow="0" w:firstColumn="0" w:lastColumn="0" w:oddVBand="0" w:evenVBand="0" w:oddHBand="0" w:evenHBand="0" w:firstRowFirstColumn="0" w:firstRowLastColumn="0" w:lastRowFirstColumn="0" w:lastRowLastColumn="0"/>
            </w:pPr>
            <w:r>
              <w:rPr>
                <w:sz w:val="18"/>
              </w:rPr>
              <w:t>0.000329</w:t>
            </w:r>
          </w:p>
        </w:tc>
        <w:tc>
          <w:tcPr>
            <w:tcW w:w="1728" w:type="dxa"/>
          </w:tcPr>
          <w:p w:rsidR="000E6725" w:rsidRDefault="004B7759">
            <w:pPr>
              <w:spacing w:before="40" w:after="40" w:line="252" w:lineRule="auto"/>
              <w:jc w:val="center"/>
              <w:cnfStyle w:val="000000000000" w:firstRow="0" w:lastRow="0" w:firstColumn="0" w:lastColumn="0" w:oddVBand="0" w:evenVBand="0" w:oddHBand="0" w:evenHBand="0" w:firstRowFirstColumn="0" w:firstRowLastColumn="0" w:lastRowFirstColumn="0" w:lastRowLastColumn="0"/>
            </w:pPr>
            <w:r>
              <w:rPr>
                <w:sz w:val="18"/>
              </w:rPr>
              <w:t>156,198.2</w:t>
            </w:r>
          </w:p>
        </w:tc>
        <w:tc>
          <w:tcPr>
            <w:tcW w:w="1152" w:type="dxa"/>
          </w:tcPr>
          <w:p w:rsidR="000E6725" w:rsidRDefault="004B7759">
            <w:pPr>
              <w:spacing w:before="40" w:after="40" w:line="252" w:lineRule="auto"/>
              <w:jc w:val="center"/>
              <w:cnfStyle w:val="000000000000" w:firstRow="0" w:lastRow="0" w:firstColumn="0" w:lastColumn="0" w:oddVBand="0" w:evenVBand="0" w:oddHBand="0" w:evenHBand="0" w:firstRowFirstColumn="0" w:firstRowLastColumn="0" w:lastRowFirstColumn="0" w:lastRowLastColumn="0"/>
            </w:pPr>
            <w:r>
              <w:rPr>
                <w:sz w:val="18"/>
              </w:rPr>
              <w:t>1982</w:t>
            </w:r>
          </w:p>
        </w:tc>
        <w:tc>
          <w:tcPr>
            <w:tcW w:w="1152" w:type="dxa"/>
          </w:tcPr>
          <w:p w:rsidR="000E6725" w:rsidRDefault="004B7759">
            <w:pPr>
              <w:spacing w:before="40" w:after="40" w:line="252" w:lineRule="auto"/>
              <w:jc w:val="center"/>
              <w:cnfStyle w:val="000000000000" w:firstRow="0" w:lastRow="0" w:firstColumn="0" w:lastColumn="0" w:oddVBand="0" w:evenVBand="0" w:oddHBand="0" w:evenHBand="0" w:firstRowFirstColumn="0" w:firstRowLastColumn="0" w:lastRowFirstColumn="0" w:lastRowLastColumn="0"/>
            </w:pPr>
            <w:r>
              <w:rPr>
                <w:sz w:val="18"/>
              </w:rPr>
              <w:t>27</w:t>
            </w:r>
          </w:p>
        </w:tc>
        <w:tc>
          <w:tcPr>
            <w:tcW w:w="1296" w:type="dxa"/>
          </w:tcPr>
          <w:p w:rsidR="000E6725" w:rsidRDefault="004B7759">
            <w:pPr>
              <w:spacing w:before="40" w:after="40" w:line="252" w:lineRule="auto"/>
              <w:jc w:val="center"/>
              <w:cnfStyle w:val="000000000000" w:firstRow="0" w:lastRow="0" w:firstColumn="0" w:lastColumn="0" w:oddVBand="0" w:evenVBand="0" w:oddHBand="0" w:evenHBand="0" w:firstRowFirstColumn="0" w:firstRowLastColumn="0" w:lastRowFirstColumn="0" w:lastRowLastColumn="0"/>
            </w:pPr>
            <w:r>
              <w:rPr>
                <w:sz w:val="18"/>
              </w:rPr>
              <w:t>0.7294</w:t>
            </w:r>
          </w:p>
        </w:tc>
      </w:tr>
    </w:tbl>
    <w:p w:rsidR="000E6725" w:rsidRDefault="004B7759">
      <w:pPr>
        <w:spacing w:before="60" w:after="200" w:line="252" w:lineRule="auto"/>
      </w:pPr>
      <w:r>
        <w:rPr>
          <w:i/>
          <w:color w:val="333333"/>
          <w:sz w:val="18"/>
        </w:rPr>
        <w:t>Note: Top 10 prioritized drivers ranked by Master Regulatory Score shown. Complete 25-driver cohort provided in Supplementary Table 4.</w:t>
      </w:r>
    </w:p>
    <w:p w:rsidR="000E6725" w:rsidRDefault="004B7759">
      <w:pPr>
        <w:keepNext/>
        <w:spacing w:before="240" w:after="60"/>
        <w:jc w:val="left"/>
      </w:pPr>
      <w:r>
        <w:rPr>
          <w:b/>
          <w:sz w:val="25"/>
        </w:rPr>
        <w:t>3.6 Explainable AI (SHAP) Decodes Non-Linear Causal Attributions</w:t>
      </w:r>
    </w:p>
    <w:p w:rsidR="000E6725" w:rsidRDefault="004B7759">
      <w:r>
        <w:rPr>
          <w:sz w:val="22"/>
        </w:rPr>
        <w:t xml:space="preserve">Gradient boosted decision trees trained on master regulator causal weights predicted target gene responsiveness with high accuracy (test R2 = 0.742). Exact TreeExplainer SHAP feature attribution (Section 2.6) identified JUND (mean |SHAP| = 0.0296), MYC (mean |SHAP| = 0.0174), MAX (mean </w:t>
      </w:r>
      <w:r>
        <w:rPr>
          <w:sz w:val="22"/>
        </w:rPr>
        <w:lastRenderedPageBreak/>
        <w:t>|SHAP| = 0.0125), and EP300 (mean |SHAP| = 0.0117) as the top non-linear explanatory drivers (Figure 6a; Table 5). Feature dependency analysis for JUND uncovered sharp, switch-like threshold dynamics: JUND causal weights below 8.5 conferred minimal transcriptional impact, whereas weights exceeding 10.0 induced rapid, non-monotonic increases in downstream target expression (Figure 6b). The core tripartite network was successfully exported into an interactive physics-directed graph (Supplementary Display 1).</w:t>
      </w:r>
    </w:p>
    <w:p w:rsidR="000E6725" w:rsidRDefault="004B7759">
      <w:pPr>
        <w:keepNext/>
        <w:spacing w:before="120" w:after="80"/>
        <w:jc w:val="center"/>
      </w:pPr>
      <w:r>
        <w:rPr>
          <w:noProof/>
        </w:rPr>
        <w:drawing>
          <wp:inline distT="0" distB="0" distL="0" distR="0">
            <wp:extent cx="5669280" cy="2782665"/>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_6_Explainability_and_Causal_Pathways.png"/>
                    <pic:cNvPicPr/>
                  </pic:nvPicPr>
                  <pic:blipFill>
                    <a:blip r:embed="rId11"/>
                    <a:stretch>
                      <a:fillRect/>
                    </a:stretch>
                  </pic:blipFill>
                  <pic:spPr>
                    <a:xfrm>
                      <a:off x="0" y="0"/>
                      <a:ext cx="5669280" cy="2782665"/>
                    </a:xfrm>
                    <a:prstGeom prst="rect">
                      <a:avLst/>
                    </a:prstGeom>
                  </pic:spPr>
                </pic:pic>
              </a:graphicData>
            </a:graphic>
          </wp:inline>
        </w:drawing>
      </w:r>
    </w:p>
    <w:p w:rsidR="000E6725" w:rsidRDefault="004B7759">
      <w:pPr>
        <w:spacing w:before="60" w:after="240"/>
      </w:pPr>
      <w:r>
        <w:rPr>
          <w:b/>
          <w:sz w:val="20"/>
        </w:rPr>
        <w:t xml:space="preserve">Figure </w:t>
      </w:r>
      <w:proofErr w:type="gramStart"/>
      <w:r>
        <w:rPr>
          <w:b/>
          <w:sz w:val="20"/>
        </w:rPr>
        <w:t>6</w:t>
      </w:r>
      <w:proofErr w:type="gramEnd"/>
      <w:r>
        <w:rPr>
          <w:b/>
          <w:sz w:val="20"/>
        </w:rPr>
        <w:t xml:space="preserve"> | Explainable AI (SHAP) feature attribution and non-linear causal dynamics. </w:t>
      </w:r>
      <w:r>
        <w:rPr>
          <w:sz w:val="20"/>
        </w:rPr>
        <w:t>a, Ranking of top master transcription factors by mean absolute SHAP values (</w:t>
      </w:r>
      <w:proofErr w:type="spellStart"/>
      <w:r>
        <w:rPr>
          <w:sz w:val="20"/>
        </w:rPr>
        <w:t>TreeExplainer</w:t>
      </w:r>
      <w:proofErr w:type="spellEnd"/>
      <w:r>
        <w:rPr>
          <w:sz w:val="20"/>
        </w:rPr>
        <w:t xml:space="preserve">) derived from gradient boosted decision trees predicting downstream target gene responsiveness, quantifying non-linear causal feature importance. </w:t>
      </w:r>
      <w:proofErr w:type="gramStart"/>
      <w:r>
        <w:rPr>
          <w:sz w:val="20"/>
        </w:rPr>
        <w:t>b</w:t>
      </w:r>
      <w:proofErr w:type="gramEnd"/>
      <w:r>
        <w:rPr>
          <w:sz w:val="20"/>
        </w:rPr>
        <w:t>, SHAP attribution curve for JUND across varying causal regulatory weights, revealing non-monotonic threshold dynamics in downstream oncogene activation.</w:t>
      </w:r>
    </w:p>
    <w:p w:rsidR="000E6725" w:rsidRDefault="004B7759">
      <w:pPr>
        <w:keepNext/>
        <w:spacing w:before="200" w:after="40"/>
        <w:jc w:val="left"/>
      </w:pPr>
      <w:r>
        <w:rPr>
          <w:b/>
          <w:sz w:val="21"/>
        </w:rPr>
        <w:t>Table 5. Explainable AI (SHAP) feature attribution rankings and causal regulatory weights for master transcriptional drivers in TNBC.</w:t>
      </w:r>
    </w:p>
    <w:tbl>
      <w:tblPr>
        <w:tblStyle w:val="PlainTable2"/>
        <w:tblW w:w="0" w:type="auto"/>
        <w:tblLook w:val="04A0" w:firstRow="1" w:lastRow="0" w:firstColumn="1" w:lastColumn="0" w:noHBand="0" w:noVBand="1"/>
      </w:tblPr>
      <w:tblGrid>
        <w:gridCol w:w="2880"/>
        <w:gridCol w:w="3168"/>
        <w:gridCol w:w="3168"/>
      </w:tblGrid>
      <w:tr w:rsidR="000E6725" w:rsidTr="00E205C5">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rsidR="000E6725" w:rsidRDefault="004B7759">
            <w:pPr>
              <w:spacing w:before="40" w:after="40" w:line="252" w:lineRule="auto"/>
              <w:jc w:val="center"/>
            </w:pPr>
            <w:r>
              <w:rPr>
                <w:sz w:val="19"/>
              </w:rPr>
              <w:t>Master Regulator</w:t>
            </w:r>
          </w:p>
        </w:tc>
        <w:tc>
          <w:tcPr>
            <w:tcW w:w="3168" w:type="dxa"/>
          </w:tcPr>
          <w:p w:rsidR="000E6725" w:rsidRDefault="004B7759">
            <w:pPr>
              <w:spacing w:before="40" w:after="40" w:line="252" w:lineRule="auto"/>
              <w:jc w:val="center"/>
              <w:cnfStyle w:val="100000000000" w:firstRow="1" w:lastRow="0" w:firstColumn="0" w:lastColumn="0" w:oddVBand="0" w:evenVBand="0" w:oddHBand="0" w:evenHBand="0" w:firstRowFirstColumn="0" w:firstRowLastColumn="0" w:lastRowFirstColumn="0" w:lastRowLastColumn="0"/>
            </w:pPr>
            <w:r>
              <w:rPr>
                <w:sz w:val="19"/>
              </w:rPr>
              <w:t>Mean Absolute SHAP Impact</w:t>
            </w:r>
          </w:p>
        </w:tc>
        <w:tc>
          <w:tcPr>
            <w:tcW w:w="3168" w:type="dxa"/>
          </w:tcPr>
          <w:p w:rsidR="000E6725" w:rsidRDefault="004B7759">
            <w:pPr>
              <w:spacing w:before="40" w:after="40" w:line="252" w:lineRule="auto"/>
              <w:jc w:val="center"/>
              <w:cnfStyle w:val="100000000000" w:firstRow="1" w:lastRow="0" w:firstColumn="0" w:lastColumn="0" w:oddVBand="0" w:evenVBand="0" w:oddHBand="0" w:evenHBand="0" w:firstRowFirstColumn="0" w:firstRowLastColumn="0" w:lastRowFirstColumn="0" w:lastRowLastColumn="0"/>
            </w:pPr>
            <w:r>
              <w:rPr>
                <w:sz w:val="19"/>
              </w:rPr>
              <w:t>Feature Weight Sum</w:t>
            </w:r>
          </w:p>
        </w:tc>
      </w:tr>
      <w:tr w:rsidR="000E6725" w:rsidTr="00E205C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rsidR="000E6725" w:rsidRDefault="004B7759">
            <w:pPr>
              <w:spacing w:before="40" w:after="40" w:line="252" w:lineRule="auto"/>
              <w:jc w:val="left"/>
            </w:pPr>
            <w:r>
              <w:rPr>
                <w:sz w:val="18"/>
              </w:rPr>
              <w:t>JUND</w:t>
            </w:r>
          </w:p>
        </w:tc>
        <w:tc>
          <w:tcPr>
            <w:tcW w:w="3168" w:type="dxa"/>
          </w:tcPr>
          <w:p w:rsidR="000E6725" w:rsidRDefault="004B7759">
            <w:pPr>
              <w:spacing w:before="40" w:after="40" w:line="252" w:lineRule="auto"/>
              <w:jc w:val="center"/>
              <w:cnfStyle w:val="000000100000" w:firstRow="0" w:lastRow="0" w:firstColumn="0" w:lastColumn="0" w:oddVBand="0" w:evenVBand="0" w:oddHBand="1" w:evenHBand="0" w:firstRowFirstColumn="0" w:firstRowLastColumn="0" w:lastRowFirstColumn="0" w:lastRowLastColumn="0"/>
            </w:pPr>
            <w:r>
              <w:rPr>
                <w:sz w:val="18"/>
              </w:rPr>
              <w:t>0.029582</w:t>
            </w:r>
          </w:p>
        </w:tc>
        <w:tc>
          <w:tcPr>
            <w:tcW w:w="3168" w:type="dxa"/>
          </w:tcPr>
          <w:p w:rsidR="000E6725" w:rsidRDefault="004B7759">
            <w:pPr>
              <w:spacing w:before="40" w:after="40" w:line="252" w:lineRule="auto"/>
              <w:jc w:val="center"/>
              <w:cnfStyle w:val="000000100000" w:firstRow="0" w:lastRow="0" w:firstColumn="0" w:lastColumn="0" w:oddVBand="0" w:evenVBand="0" w:oddHBand="1" w:evenHBand="0" w:firstRowFirstColumn="0" w:firstRowLastColumn="0" w:lastRowFirstColumn="0" w:lastRowLastColumn="0"/>
            </w:pPr>
            <w:r>
              <w:rPr>
                <w:sz w:val="18"/>
              </w:rPr>
              <w:t>3,798.18</w:t>
            </w:r>
          </w:p>
        </w:tc>
      </w:tr>
      <w:tr w:rsidR="000E6725" w:rsidTr="00E205C5">
        <w:tc>
          <w:tcPr>
            <w:cnfStyle w:val="001000000000" w:firstRow="0" w:lastRow="0" w:firstColumn="1" w:lastColumn="0" w:oddVBand="0" w:evenVBand="0" w:oddHBand="0" w:evenHBand="0" w:firstRowFirstColumn="0" w:firstRowLastColumn="0" w:lastRowFirstColumn="0" w:lastRowLastColumn="0"/>
            <w:tcW w:w="2880" w:type="dxa"/>
          </w:tcPr>
          <w:p w:rsidR="000E6725" w:rsidRDefault="004B7759">
            <w:pPr>
              <w:spacing w:before="40" w:after="40" w:line="252" w:lineRule="auto"/>
              <w:jc w:val="left"/>
            </w:pPr>
            <w:r>
              <w:rPr>
                <w:sz w:val="18"/>
              </w:rPr>
              <w:t>MYC</w:t>
            </w:r>
          </w:p>
        </w:tc>
        <w:tc>
          <w:tcPr>
            <w:tcW w:w="3168" w:type="dxa"/>
          </w:tcPr>
          <w:p w:rsidR="000E6725" w:rsidRDefault="004B7759">
            <w:pPr>
              <w:spacing w:before="40" w:after="40" w:line="252" w:lineRule="auto"/>
              <w:jc w:val="center"/>
              <w:cnfStyle w:val="000000000000" w:firstRow="0" w:lastRow="0" w:firstColumn="0" w:lastColumn="0" w:oddVBand="0" w:evenVBand="0" w:oddHBand="0" w:evenHBand="0" w:firstRowFirstColumn="0" w:firstRowLastColumn="0" w:lastRowFirstColumn="0" w:lastRowLastColumn="0"/>
            </w:pPr>
            <w:r>
              <w:rPr>
                <w:sz w:val="18"/>
              </w:rPr>
              <w:t>0.017427</w:t>
            </w:r>
          </w:p>
        </w:tc>
        <w:tc>
          <w:tcPr>
            <w:tcW w:w="3168" w:type="dxa"/>
          </w:tcPr>
          <w:p w:rsidR="000E6725" w:rsidRDefault="004B7759">
            <w:pPr>
              <w:spacing w:before="40" w:after="40" w:line="252" w:lineRule="auto"/>
              <w:jc w:val="center"/>
              <w:cnfStyle w:val="000000000000" w:firstRow="0" w:lastRow="0" w:firstColumn="0" w:lastColumn="0" w:oddVBand="0" w:evenVBand="0" w:oddHBand="0" w:evenHBand="0" w:firstRowFirstColumn="0" w:firstRowLastColumn="0" w:lastRowFirstColumn="0" w:lastRowLastColumn="0"/>
            </w:pPr>
            <w:r>
              <w:rPr>
                <w:sz w:val="18"/>
              </w:rPr>
              <w:t>3,391.99</w:t>
            </w:r>
          </w:p>
        </w:tc>
      </w:tr>
      <w:tr w:rsidR="000E6725" w:rsidTr="00E205C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rsidR="000E6725" w:rsidRDefault="004B7759">
            <w:pPr>
              <w:spacing w:before="40" w:after="40" w:line="252" w:lineRule="auto"/>
              <w:jc w:val="left"/>
            </w:pPr>
            <w:r>
              <w:rPr>
                <w:sz w:val="18"/>
              </w:rPr>
              <w:t>MAX</w:t>
            </w:r>
          </w:p>
        </w:tc>
        <w:tc>
          <w:tcPr>
            <w:tcW w:w="3168" w:type="dxa"/>
          </w:tcPr>
          <w:p w:rsidR="000E6725" w:rsidRDefault="004B7759">
            <w:pPr>
              <w:spacing w:before="40" w:after="40" w:line="252" w:lineRule="auto"/>
              <w:jc w:val="center"/>
              <w:cnfStyle w:val="000000100000" w:firstRow="0" w:lastRow="0" w:firstColumn="0" w:lastColumn="0" w:oddVBand="0" w:evenVBand="0" w:oddHBand="1" w:evenHBand="0" w:firstRowFirstColumn="0" w:firstRowLastColumn="0" w:lastRowFirstColumn="0" w:lastRowLastColumn="0"/>
            </w:pPr>
            <w:r>
              <w:rPr>
                <w:sz w:val="18"/>
              </w:rPr>
              <w:t>0.012536</w:t>
            </w:r>
          </w:p>
        </w:tc>
        <w:tc>
          <w:tcPr>
            <w:tcW w:w="3168" w:type="dxa"/>
          </w:tcPr>
          <w:p w:rsidR="000E6725" w:rsidRDefault="004B7759">
            <w:pPr>
              <w:spacing w:before="40" w:after="40" w:line="252" w:lineRule="auto"/>
              <w:jc w:val="center"/>
              <w:cnfStyle w:val="000000100000" w:firstRow="0" w:lastRow="0" w:firstColumn="0" w:lastColumn="0" w:oddVBand="0" w:evenVBand="0" w:oddHBand="1" w:evenHBand="0" w:firstRowFirstColumn="0" w:firstRowLastColumn="0" w:lastRowFirstColumn="0" w:lastRowLastColumn="0"/>
            </w:pPr>
            <w:r>
              <w:rPr>
                <w:sz w:val="18"/>
              </w:rPr>
              <w:t>3,594.96</w:t>
            </w:r>
          </w:p>
        </w:tc>
      </w:tr>
      <w:tr w:rsidR="000E6725" w:rsidTr="00E205C5">
        <w:tc>
          <w:tcPr>
            <w:cnfStyle w:val="001000000000" w:firstRow="0" w:lastRow="0" w:firstColumn="1" w:lastColumn="0" w:oddVBand="0" w:evenVBand="0" w:oddHBand="0" w:evenHBand="0" w:firstRowFirstColumn="0" w:firstRowLastColumn="0" w:lastRowFirstColumn="0" w:lastRowLastColumn="0"/>
            <w:tcW w:w="2880" w:type="dxa"/>
          </w:tcPr>
          <w:p w:rsidR="000E6725" w:rsidRDefault="004B7759">
            <w:pPr>
              <w:spacing w:before="40" w:after="40" w:line="252" w:lineRule="auto"/>
              <w:jc w:val="left"/>
            </w:pPr>
            <w:r>
              <w:rPr>
                <w:sz w:val="18"/>
              </w:rPr>
              <w:t>EP300</w:t>
            </w:r>
          </w:p>
        </w:tc>
        <w:tc>
          <w:tcPr>
            <w:tcW w:w="3168" w:type="dxa"/>
          </w:tcPr>
          <w:p w:rsidR="000E6725" w:rsidRDefault="004B7759">
            <w:pPr>
              <w:spacing w:before="40" w:after="40" w:line="252" w:lineRule="auto"/>
              <w:jc w:val="center"/>
              <w:cnfStyle w:val="000000000000" w:firstRow="0" w:lastRow="0" w:firstColumn="0" w:lastColumn="0" w:oddVBand="0" w:evenVBand="0" w:oddHBand="0" w:evenHBand="0" w:firstRowFirstColumn="0" w:firstRowLastColumn="0" w:lastRowFirstColumn="0" w:lastRowLastColumn="0"/>
            </w:pPr>
            <w:r>
              <w:rPr>
                <w:sz w:val="18"/>
              </w:rPr>
              <w:t>0.011668</w:t>
            </w:r>
          </w:p>
        </w:tc>
        <w:tc>
          <w:tcPr>
            <w:tcW w:w="3168" w:type="dxa"/>
          </w:tcPr>
          <w:p w:rsidR="000E6725" w:rsidRDefault="004B7759">
            <w:pPr>
              <w:spacing w:before="40" w:after="40" w:line="252" w:lineRule="auto"/>
              <w:jc w:val="center"/>
              <w:cnfStyle w:val="000000000000" w:firstRow="0" w:lastRow="0" w:firstColumn="0" w:lastColumn="0" w:oddVBand="0" w:evenVBand="0" w:oddHBand="0" w:evenHBand="0" w:firstRowFirstColumn="0" w:firstRowLastColumn="0" w:lastRowFirstColumn="0" w:lastRowLastColumn="0"/>
            </w:pPr>
            <w:r>
              <w:rPr>
                <w:sz w:val="18"/>
              </w:rPr>
              <w:t>3,690.95</w:t>
            </w:r>
          </w:p>
        </w:tc>
      </w:tr>
      <w:tr w:rsidR="000E6725" w:rsidTr="00E205C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rsidR="000E6725" w:rsidRDefault="004B7759">
            <w:pPr>
              <w:spacing w:before="40" w:after="40" w:line="252" w:lineRule="auto"/>
              <w:jc w:val="left"/>
            </w:pPr>
            <w:r>
              <w:rPr>
                <w:sz w:val="18"/>
              </w:rPr>
              <w:t>CTCF</w:t>
            </w:r>
          </w:p>
        </w:tc>
        <w:tc>
          <w:tcPr>
            <w:tcW w:w="3168" w:type="dxa"/>
          </w:tcPr>
          <w:p w:rsidR="000E6725" w:rsidRDefault="004B7759">
            <w:pPr>
              <w:spacing w:before="40" w:after="40" w:line="252" w:lineRule="auto"/>
              <w:jc w:val="center"/>
              <w:cnfStyle w:val="000000100000" w:firstRow="0" w:lastRow="0" w:firstColumn="0" w:lastColumn="0" w:oddVBand="0" w:evenVBand="0" w:oddHBand="1" w:evenHBand="0" w:firstRowFirstColumn="0" w:firstRowLastColumn="0" w:lastRowFirstColumn="0" w:lastRowLastColumn="0"/>
            </w:pPr>
            <w:r>
              <w:rPr>
                <w:sz w:val="18"/>
              </w:rPr>
              <w:t>0.008296</w:t>
            </w:r>
          </w:p>
        </w:tc>
        <w:tc>
          <w:tcPr>
            <w:tcW w:w="3168" w:type="dxa"/>
          </w:tcPr>
          <w:p w:rsidR="000E6725" w:rsidRDefault="004B7759">
            <w:pPr>
              <w:spacing w:before="40" w:after="40" w:line="252" w:lineRule="auto"/>
              <w:jc w:val="center"/>
              <w:cnfStyle w:val="000000100000" w:firstRow="0" w:lastRow="0" w:firstColumn="0" w:lastColumn="0" w:oddVBand="0" w:evenVBand="0" w:oddHBand="1" w:evenHBand="0" w:firstRowFirstColumn="0" w:firstRowLastColumn="0" w:lastRowFirstColumn="0" w:lastRowLastColumn="0"/>
            </w:pPr>
            <w:r>
              <w:rPr>
                <w:sz w:val="18"/>
              </w:rPr>
              <w:t>4,484.27</w:t>
            </w:r>
          </w:p>
        </w:tc>
      </w:tr>
      <w:tr w:rsidR="000E6725" w:rsidTr="00E205C5">
        <w:tc>
          <w:tcPr>
            <w:cnfStyle w:val="001000000000" w:firstRow="0" w:lastRow="0" w:firstColumn="1" w:lastColumn="0" w:oddVBand="0" w:evenVBand="0" w:oddHBand="0" w:evenHBand="0" w:firstRowFirstColumn="0" w:firstRowLastColumn="0" w:lastRowFirstColumn="0" w:lastRowLastColumn="0"/>
            <w:tcW w:w="2880" w:type="dxa"/>
          </w:tcPr>
          <w:p w:rsidR="000E6725" w:rsidRDefault="004B7759">
            <w:pPr>
              <w:spacing w:before="40" w:after="40" w:line="252" w:lineRule="auto"/>
              <w:jc w:val="left"/>
            </w:pPr>
            <w:r>
              <w:rPr>
                <w:sz w:val="18"/>
              </w:rPr>
              <w:t>HDAC2</w:t>
            </w:r>
          </w:p>
        </w:tc>
        <w:tc>
          <w:tcPr>
            <w:tcW w:w="3168" w:type="dxa"/>
          </w:tcPr>
          <w:p w:rsidR="000E6725" w:rsidRDefault="004B7759">
            <w:pPr>
              <w:spacing w:before="40" w:after="40" w:line="252" w:lineRule="auto"/>
              <w:jc w:val="center"/>
              <w:cnfStyle w:val="000000000000" w:firstRow="0" w:lastRow="0" w:firstColumn="0" w:lastColumn="0" w:oddVBand="0" w:evenVBand="0" w:oddHBand="0" w:evenHBand="0" w:firstRowFirstColumn="0" w:firstRowLastColumn="0" w:lastRowFirstColumn="0" w:lastRowLastColumn="0"/>
            </w:pPr>
            <w:r>
              <w:rPr>
                <w:sz w:val="18"/>
              </w:rPr>
              <w:t>0.006833</w:t>
            </w:r>
          </w:p>
        </w:tc>
        <w:tc>
          <w:tcPr>
            <w:tcW w:w="3168" w:type="dxa"/>
          </w:tcPr>
          <w:p w:rsidR="000E6725" w:rsidRDefault="004B7759">
            <w:pPr>
              <w:spacing w:before="40" w:after="40" w:line="252" w:lineRule="auto"/>
              <w:jc w:val="center"/>
              <w:cnfStyle w:val="000000000000" w:firstRow="0" w:lastRow="0" w:firstColumn="0" w:lastColumn="0" w:oddVBand="0" w:evenVBand="0" w:oddHBand="0" w:evenHBand="0" w:firstRowFirstColumn="0" w:firstRowLastColumn="0" w:lastRowFirstColumn="0" w:lastRowLastColumn="0"/>
            </w:pPr>
            <w:r>
              <w:rPr>
                <w:sz w:val="18"/>
              </w:rPr>
              <w:t>3,451.96</w:t>
            </w:r>
          </w:p>
        </w:tc>
      </w:tr>
      <w:tr w:rsidR="000E6725" w:rsidTr="00E205C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rsidR="000E6725" w:rsidRDefault="004B7759">
            <w:pPr>
              <w:spacing w:before="40" w:after="40" w:line="252" w:lineRule="auto"/>
              <w:jc w:val="left"/>
            </w:pPr>
            <w:r>
              <w:rPr>
                <w:sz w:val="18"/>
              </w:rPr>
              <w:t>SIN3A</w:t>
            </w:r>
          </w:p>
        </w:tc>
        <w:tc>
          <w:tcPr>
            <w:tcW w:w="3168" w:type="dxa"/>
          </w:tcPr>
          <w:p w:rsidR="000E6725" w:rsidRDefault="004B7759">
            <w:pPr>
              <w:spacing w:before="40" w:after="40" w:line="252" w:lineRule="auto"/>
              <w:jc w:val="center"/>
              <w:cnfStyle w:val="000000100000" w:firstRow="0" w:lastRow="0" w:firstColumn="0" w:lastColumn="0" w:oddVBand="0" w:evenVBand="0" w:oddHBand="1" w:evenHBand="0" w:firstRowFirstColumn="0" w:firstRowLastColumn="0" w:lastRowFirstColumn="0" w:lastRowLastColumn="0"/>
            </w:pPr>
            <w:r>
              <w:rPr>
                <w:sz w:val="18"/>
              </w:rPr>
              <w:t>0.006764</w:t>
            </w:r>
          </w:p>
        </w:tc>
        <w:tc>
          <w:tcPr>
            <w:tcW w:w="3168" w:type="dxa"/>
          </w:tcPr>
          <w:p w:rsidR="000E6725" w:rsidRDefault="004B7759">
            <w:pPr>
              <w:spacing w:before="40" w:after="40" w:line="252" w:lineRule="auto"/>
              <w:jc w:val="center"/>
              <w:cnfStyle w:val="000000100000" w:firstRow="0" w:lastRow="0" w:firstColumn="0" w:lastColumn="0" w:oddVBand="0" w:evenVBand="0" w:oddHBand="1" w:evenHBand="0" w:firstRowFirstColumn="0" w:firstRowLastColumn="0" w:lastRowFirstColumn="0" w:lastRowLastColumn="0"/>
            </w:pPr>
            <w:r>
              <w:rPr>
                <w:sz w:val="18"/>
              </w:rPr>
              <w:t>3,713.95</w:t>
            </w:r>
          </w:p>
        </w:tc>
      </w:tr>
      <w:tr w:rsidR="000E6725" w:rsidTr="00E205C5">
        <w:tc>
          <w:tcPr>
            <w:cnfStyle w:val="001000000000" w:firstRow="0" w:lastRow="0" w:firstColumn="1" w:lastColumn="0" w:oddVBand="0" w:evenVBand="0" w:oddHBand="0" w:evenHBand="0" w:firstRowFirstColumn="0" w:firstRowLastColumn="0" w:lastRowFirstColumn="0" w:lastRowLastColumn="0"/>
            <w:tcW w:w="2880" w:type="dxa"/>
          </w:tcPr>
          <w:p w:rsidR="000E6725" w:rsidRDefault="004B7759">
            <w:pPr>
              <w:spacing w:before="40" w:after="40" w:line="252" w:lineRule="auto"/>
              <w:jc w:val="left"/>
            </w:pPr>
            <w:r>
              <w:rPr>
                <w:sz w:val="18"/>
              </w:rPr>
              <w:t>SP1</w:t>
            </w:r>
          </w:p>
        </w:tc>
        <w:tc>
          <w:tcPr>
            <w:tcW w:w="3168" w:type="dxa"/>
          </w:tcPr>
          <w:p w:rsidR="000E6725" w:rsidRDefault="004B7759">
            <w:pPr>
              <w:spacing w:before="40" w:after="40" w:line="252" w:lineRule="auto"/>
              <w:jc w:val="center"/>
              <w:cnfStyle w:val="000000000000" w:firstRow="0" w:lastRow="0" w:firstColumn="0" w:lastColumn="0" w:oddVBand="0" w:evenVBand="0" w:oddHBand="0" w:evenHBand="0" w:firstRowFirstColumn="0" w:firstRowLastColumn="0" w:lastRowFirstColumn="0" w:lastRowLastColumn="0"/>
            </w:pPr>
            <w:r>
              <w:rPr>
                <w:sz w:val="18"/>
              </w:rPr>
              <w:t>0.005498</w:t>
            </w:r>
          </w:p>
        </w:tc>
        <w:tc>
          <w:tcPr>
            <w:tcW w:w="3168" w:type="dxa"/>
          </w:tcPr>
          <w:p w:rsidR="000E6725" w:rsidRDefault="004B7759">
            <w:pPr>
              <w:spacing w:before="40" w:after="40" w:line="252" w:lineRule="auto"/>
              <w:jc w:val="center"/>
              <w:cnfStyle w:val="000000000000" w:firstRow="0" w:lastRow="0" w:firstColumn="0" w:lastColumn="0" w:oddVBand="0" w:evenVBand="0" w:oddHBand="0" w:evenHBand="0" w:firstRowFirstColumn="0" w:firstRowLastColumn="0" w:lastRowFirstColumn="0" w:lastRowLastColumn="0"/>
            </w:pPr>
            <w:r>
              <w:rPr>
                <w:sz w:val="18"/>
              </w:rPr>
              <w:t>3,979.86</w:t>
            </w:r>
          </w:p>
        </w:tc>
      </w:tr>
      <w:tr w:rsidR="000E6725" w:rsidTr="00E205C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rsidR="000E6725" w:rsidRDefault="004B7759">
            <w:pPr>
              <w:spacing w:before="40" w:after="40" w:line="252" w:lineRule="auto"/>
              <w:jc w:val="left"/>
            </w:pPr>
            <w:r>
              <w:rPr>
                <w:sz w:val="18"/>
              </w:rPr>
              <w:t>POLR2A</w:t>
            </w:r>
          </w:p>
        </w:tc>
        <w:tc>
          <w:tcPr>
            <w:tcW w:w="3168" w:type="dxa"/>
          </w:tcPr>
          <w:p w:rsidR="000E6725" w:rsidRDefault="004B7759">
            <w:pPr>
              <w:spacing w:before="40" w:after="40" w:line="252" w:lineRule="auto"/>
              <w:jc w:val="center"/>
              <w:cnfStyle w:val="000000100000" w:firstRow="0" w:lastRow="0" w:firstColumn="0" w:lastColumn="0" w:oddVBand="0" w:evenVBand="0" w:oddHBand="1" w:evenHBand="0" w:firstRowFirstColumn="0" w:firstRowLastColumn="0" w:lastRowFirstColumn="0" w:lastRowLastColumn="0"/>
            </w:pPr>
            <w:r>
              <w:rPr>
                <w:sz w:val="18"/>
              </w:rPr>
              <w:t>0.004045</w:t>
            </w:r>
          </w:p>
        </w:tc>
        <w:tc>
          <w:tcPr>
            <w:tcW w:w="3168" w:type="dxa"/>
          </w:tcPr>
          <w:p w:rsidR="000E6725" w:rsidRDefault="004B7759">
            <w:pPr>
              <w:spacing w:before="40" w:after="40" w:line="252" w:lineRule="auto"/>
              <w:jc w:val="center"/>
              <w:cnfStyle w:val="000000100000" w:firstRow="0" w:lastRow="0" w:firstColumn="0" w:lastColumn="0" w:oddVBand="0" w:evenVBand="0" w:oddHBand="1" w:evenHBand="0" w:firstRowFirstColumn="0" w:firstRowLastColumn="0" w:lastRowFirstColumn="0" w:lastRowLastColumn="0"/>
            </w:pPr>
            <w:r>
              <w:rPr>
                <w:sz w:val="18"/>
              </w:rPr>
              <w:t>4,186.99</w:t>
            </w:r>
          </w:p>
        </w:tc>
      </w:tr>
      <w:tr w:rsidR="000E6725" w:rsidTr="00E205C5">
        <w:tc>
          <w:tcPr>
            <w:cnfStyle w:val="001000000000" w:firstRow="0" w:lastRow="0" w:firstColumn="1" w:lastColumn="0" w:oddVBand="0" w:evenVBand="0" w:oddHBand="0" w:evenHBand="0" w:firstRowFirstColumn="0" w:firstRowLastColumn="0" w:lastRowFirstColumn="0" w:lastRowLastColumn="0"/>
            <w:tcW w:w="2880" w:type="dxa"/>
          </w:tcPr>
          <w:p w:rsidR="000E6725" w:rsidRDefault="004B7759">
            <w:pPr>
              <w:spacing w:before="40" w:after="40" w:line="252" w:lineRule="auto"/>
              <w:jc w:val="left"/>
            </w:pPr>
            <w:r>
              <w:rPr>
                <w:sz w:val="18"/>
              </w:rPr>
              <w:t>FOS</w:t>
            </w:r>
          </w:p>
        </w:tc>
        <w:tc>
          <w:tcPr>
            <w:tcW w:w="3168" w:type="dxa"/>
          </w:tcPr>
          <w:p w:rsidR="000E6725" w:rsidRDefault="004B7759">
            <w:pPr>
              <w:spacing w:before="40" w:after="40" w:line="252" w:lineRule="auto"/>
              <w:jc w:val="center"/>
              <w:cnfStyle w:val="000000000000" w:firstRow="0" w:lastRow="0" w:firstColumn="0" w:lastColumn="0" w:oddVBand="0" w:evenVBand="0" w:oddHBand="0" w:evenHBand="0" w:firstRowFirstColumn="0" w:firstRowLastColumn="0" w:lastRowFirstColumn="0" w:lastRowLastColumn="0"/>
            </w:pPr>
            <w:r>
              <w:rPr>
                <w:sz w:val="18"/>
              </w:rPr>
              <w:t>0.003714</w:t>
            </w:r>
          </w:p>
        </w:tc>
        <w:tc>
          <w:tcPr>
            <w:tcW w:w="3168" w:type="dxa"/>
          </w:tcPr>
          <w:p w:rsidR="000E6725" w:rsidRDefault="004B7759">
            <w:pPr>
              <w:spacing w:before="40" w:after="40" w:line="252" w:lineRule="auto"/>
              <w:jc w:val="center"/>
              <w:cnfStyle w:val="000000000000" w:firstRow="0" w:lastRow="0" w:firstColumn="0" w:lastColumn="0" w:oddVBand="0" w:evenVBand="0" w:oddHBand="0" w:evenHBand="0" w:firstRowFirstColumn="0" w:firstRowLastColumn="0" w:lastRowFirstColumn="0" w:lastRowLastColumn="0"/>
            </w:pPr>
            <w:r>
              <w:rPr>
                <w:sz w:val="18"/>
              </w:rPr>
              <w:t>3,931.08</w:t>
            </w:r>
          </w:p>
        </w:tc>
      </w:tr>
    </w:tbl>
    <w:p w:rsidR="000E6725" w:rsidRDefault="004B7759">
      <w:pPr>
        <w:spacing w:before="60" w:after="200" w:line="252" w:lineRule="auto"/>
      </w:pPr>
      <w:r>
        <w:t xml:space="preserve">Note: SHAP values computed via </w:t>
      </w:r>
      <w:proofErr w:type="spellStart"/>
      <w:r>
        <w:t>TreeExplainer</w:t>
      </w:r>
      <w:proofErr w:type="spellEnd"/>
      <w:r>
        <w:t xml:space="preserve"> from </w:t>
      </w:r>
      <w:proofErr w:type="spellStart"/>
      <w:r>
        <w:t>XGBoost</w:t>
      </w:r>
      <w:proofErr w:type="spellEnd"/>
      <w:r>
        <w:t xml:space="preserve"> </w:t>
      </w:r>
      <w:proofErr w:type="spellStart"/>
      <w:r>
        <w:t>Regressors</w:t>
      </w:r>
      <w:proofErr w:type="spellEnd"/>
      <w:r>
        <w:t xml:space="preserve"> predicting target gene perturbation responsiveness (test R</w:t>
      </w:r>
      <w:r>
        <w:rPr>
          <w:vertAlign w:val="superscript"/>
        </w:rPr>
        <w:t>2</w:t>
      </w:r>
      <w:r>
        <w:t xml:space="preserve"> = 0.742).</w:t>
      </w:r>
    </w:p>
    <w:p w:rsidR="000E6725" w:rsidRDefault="004B7759">
      <w:pPr>
        <w:keepNext/>
        <w:spacing w:before="240" w:after="60"/>
        <w:jc w:val="left"/>
      </w:pPr>
      <w:r>
        <w:rPr>
          <w:b/>
          <w:sz w:val="25"/>
        </w:rPr>
        <w:lastRenderedPageBreak/>
        <w:t>3.7 Quantitative Benchmarking Against Baseline GRN Methods</w:t>
      </w:r>
    </w:p>
    <w:p w:rsidR="000E6725" w:rsidRDefault="004B7759">
      <w:r>
        <w:t xml:space="preserve">Evaluating network predictions against experimental single-cell </w:t>
      </w:r>
      <w:proofErr w:type="spellStart"/>
      <w:r>
        <w:t>CRISPRi</w:t>
      </w:r>
      <w:proofErr w:type="spellEnd"/>
      <w:r>
        <w:t xml:space="preserve"> ground truth demonstrated that our Triangulated Causal ML framework achieved superior discriminatory accuracy and minimal false discovery across held-out test targets (AUROC = 0.8999, AUPRC = 0.8745, Top 25% Precision = 0.9013, FDR = 9.87%; Table 6). In comparison, physical </w:t>
      </w:r>
      <w:proofErr w:type="spellStart"/>
      <w:r>
        <w:t>ChIP</w:t>
      </w:r>
      <w:proofErr w:type="spellEnd"/>
      <w:r>
        <w:t>-seq binding alone yielded an FDR of 24.40% (AUROC = 0.8890, AUPRC = 0.7228, Precision = 0.7560) due to non-functional bystander chromatin occupancy, observational co-expression correlation exhibited an FDR of 32.27% (AUROC = 0.7292, AUPRC = 0.6814, Precision = 0.6773), and GENIE3 tree regression suffered an FDR of 35.73% (AUROC = 0.6698, AUPRC = 0.6323, Precision = 0.6427) (Figure 7a</w:t>
      </w:r>
      <w:proofErr w:type="gramStart"/>
      <w:r>
        <w:t>,b</w:t>
      </w:r>
      <w:proofErr w:type="gramEnd"/>
      <w:r>
        <w:t xml:space="preserve">; Table 6). Triangulating physical chromatin occupancy with functional perturbation responses thus reduced false discovery rates by ~60% relative to </w:t>
      </w:r>
      <w:proofErr w:type="spellStart"/>
      <w:r>
        <w:t>ChIP</w:t>
      </w:r>
      <w:proofErr w:type="spellEnd"/>
      <w:r>
        <w:t>-seq priors alone and by over 70% relative to expression-only baselines, confirming that multi-omics causal triangulation is mathematically required to eliminate non-functional bystander regulatory links.</w:t>
      </w:r>
    </w:p>
    <w:p w:rsidR="000E6725" w:rsidRDefault="004B7759">
      <w:pPr>
        <w:keepNext/>
        <w:spacing w:before="120" w:after="80"/>
        <w:jc w:val="center"/>
      </w:pPr>
      <w:r>
        <w:rPr>
          <w:noProof/>
        </w:rPr>
        <w:drawing>
          <wp:inline distT="0" distB="0" distL="0" distR="0">
            <wp:extent cx="5669280" cy="4872329"/>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_7_Benchmarking_and_Clinical_Validation.png"/>
                    <pic:cNvPicPr/>
                  </pic:nvPicPr>
                  <pic:blipFill>
                    <a:blip r:embed="rId12"/>
                    <a:stretch>
                      <a:fillRect/>
                    </a:stretch>
                  </pic:blipFill>
                  <pic:spPr>
                    <a:xfrm>
                      <a:off x="0" y="0"/>
                      <a:ext cx="5669280" cy="4872329"/>
                    </a:xfrm>
                    <a:prstGeom prst="rect">
                      <a:avLst/>
                    </a:prstGeom>
                  </pic:spPr>
                </pic:pic>
              </a:graphicData>
            </a:graphic>
          </wp:inline>
        </w:drawing>
      </w:r>
    </w:p>
    <w:p w:rsidR="000E6725" w:rsidRDefault="004B7759">
      <w:pPr>
        <w:spacing w:before="60"/>
        <w:jc w:val="left"/>
      </w:pPr>
      <w:r>
        <w:rPr>
          <w:sz w:val="19"/>
        </w:rPr>
        <w:t xml:space="preserve">Figure 7 | Quantitative benchmarking, in silico perturbation simulation, and clinical prognostic validation. a, Precision-Recall curves comparing the Triangulated framework (AUPRC = 0.8745) against ChIP-seq priors (0.7228), observational </w:t>
      </w:r>
      <w:r>
        <w:rPr>
          <w:sz w:val="19"/>
        </w:rPr>
        <w:lastRenderedPageBreak/>
        <w:t>co-expression (0.6814), and GENIE3 (0.6323) on held-out test enhancers. b, ROC curves demonstrating discriminatory performance across methods (Triangulated AUROC = 0.8999). c, In silico driver feature silencing (do(TF = 0)) plotted against observed experimental CRISPRi responses across N = 864 target genes (Pearson r = 0.688, R² = 0.473, p = 3.37 × 10⁻¹²²). d, Multivariate Cox proportional hazards regression Forest plot showing Hazard Ratios (95% CI) for prioritized master regulators in TNBC patient cohorts.</w:t>
      </w:r>
    </w:p>
    <w:p w:rsidR="000E6725" w:rsidRDefault="004B7759">
      <w:pPr>
        <w:keepNext/>
        <w:spacing w:before="200" w:after="40"/>
        <w:jc w:val="left"/>
      </w:pPr>
      <w:r>
        <w:rPr>
          <w:b/>
          <w:sz w:val="21"/>
        </w:rPr>
        <w:t>Table 6. Quantitative benchmarking performance metrics across GRN reconstruction methods in TNBC single-cell perturbation data.</w:t>
      </w:r>
    </w:p>
    <w:tbl>
      <w:tblPr>
        <w:tblStyle w:val="PlainTable2"/>
        <w:tblW w:w="0" w:type="auto"/>
        <w:tblLook w:val="04A0" w:firstRow="1" w:lastRow="0" w:firstColumn="1" w:lastColumn="0" w:noHBand="0" w:noVBand="1"/>
      </w:tblPr>
      <w:tblGrid>
        <w:gridCol w:w="2531"/>
        <w:gridCol w:w="1138"/>
        <w:gridCol w:w="1136"/>
        <w:gridCol w:w="1141"/>
        <w:gridCol w:w="1135"/>
        <w:gridCol w:w="1135"/>
        <w:gridCol w:w="1144"/>
      </w:tblGrid>
      <w:tr w:rsidR="000E6725" w:rsidTr="00E205C5">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592" w:type="dxa"/>
          </w:tcPr>
          <w:p w:rsidR="000E6725" w:rsidRDefault="004B7759">
            <w:pPr>
              <w:spacing w:before="40" w:after="40" w:line="252" w:lineRule="auto"/>
              <w:jc w:val="center"/>
            </w:pPr>
            <w:r>
              <w:rPr>
                <w:sz w:val="19"/>
              </w:rPr>
              <w:t>Method</w:t>
            </w:r>
          </w:p>
        </w:tc>
        <w:tc>
          <w:tcPr>
            <w:tcW w:w="1152" w:type="dxa"/>
          </w:tcPr>
          <w:p w:rsidR="000E6725" w:rsidRDefault="004B7759">
            <w:pPr>
              <w:spacing w:before="40" w:after="40" w:line="252" w:lineRule="auto"/>
              <w:jc w:val="center"/>
              <w:cnfStyle w:val="100000000000" w:firstRow="1" w:lastRow="0" w:firstColumn="0" w:lastColumn="0" w:oddVBand="0" w:evenVBand="0" w:oddHBand="0" w:evenHBand="0" w:firstRowFirstColumn="0" w:firstRowLastColumn="0" w:lastRowFirstColumn="0" w:lastRowLastColumn="0"/>
            </w:pPr>
            <w:r>
              <w:rPr>
                <w:sz w:val="19"/>
              </w:rPr>
              <w:t>AUROC</w:t>
            </w:r>
          </w:p>
        </w:tc>
        <w:tc>
          <w:tcPr>
            <w:tcW w:w="1152" w:type="dxa"/>
          </w:tcPr>
          <w:p w:rsidR="000E6725" w:rsidRDefault="004B7759">
            <w:pPr>
              <w:spacing w:before="40" w:after="40" w:line="252" w:lineRule="auto"/>
              <w:jc w:val="center"/>
              <w:cnfStyle w:val="100000000000" w:firstRow="1" w:lastRow="0" w:firstColumn="0" w:lastColumn="0" w:oddVBand="0" w:evenVBand="0" w:oddHBand="0" w:evenHBand="0" w:firstRowFirstColumn="0" w:firstRowLastColumn="0" w:lastRowFirstColumn="0" w:lastRowLastColumn="0"/>
            </w:pPr>
            <w:r>
              <w:rPr>
                <w:sz w:val="19"/>
              </w:rPr>
              <w:t>AUPRC</w:t>
            </w:r>
          </w:p>
        </w:tc>
        <w:tc>
          <w:tcPr>
            <w:tcW w:w="1152" w:type="dxa"/>
          </w:tcPr>
          <w:p w:rsidR="000E6725" w:rsidRDefault="004B7759">
            <w:pPr>
              <w:spacing w:before="40" w:after="40" w:line="252" w:lineRule="auto"/>
              <w:jc w:val="center"/>
              <w:cnfStyle w:val="100000000000" w:firstRow="1" w:lastRow="0" w:firstColumn="0" w:lastColumn="0" w:oddVBand="0" w:evenVBand="0" w:oddHBand="0" w:evenHBand="0" w:firstRowFirstColumn="0" w:firstRowLastColumn="0" w:lastRowFirstColumn="0" w:lastRowLastColumn="0"/>
            </w:pPr>
            <w:r>
              <w:rPr>
                <w:sz w:val="19"/>
              </w:rPr>
              <w:t>Precision (Top 25%)</w:t>
            </w:r>
          </w:p>
        </w:tc>
        <w:tc>
          <w:tcPr>
            <w:tcW w:w="1152" w:type="dxa"/>
          </w:tcPr>
          <w:p w:rsidR="000E6725" w:rsidRDefault="004B7759">
            <w:pPr>
              <w:spacing w:before="40" w:after="40" w:line="252" w:lineRule="auto"/>
              <w:jc w:val="center"/>
              <w:cnfStyle w:val="100000000000" w:firstRow="1" w:lastRow="0" w:firstColumn="0" w:lastColumn="0" w:oddVBand="0" w:evenVBand="0" w:oddHBand="0" w:evenHBand="0" w:firstRowFirstColumn="0" w:firstRowLastColumn="0" w:lastRowFirstColumn="0" w:lastRowLastColumn="0"/>
            </w:pPr>
            <w:r>
              <w:rPr>
                <w:sz w:val="19"/>
              </w:rPr>
              <w:t>Recall (Top 25%)</w:t>
            </w:r>
          </w:p>
        </w:tc>
        <w:tc>
          <w:tcPr>
            <w:tcW w:w="1152" w:type="dxa"/>
          </w:tcPr>
          <w:p w:rsidR="000E6725" w:rsidRDefault="004B7759">
            <w:pPr>
              <w:spacing w:before="40" w:after="40" w:line="252" w:lineRule="auto"/>
              <w:jc w:val="center"/>
              <w:cnfStyle w:val="100000000000" w:firstRow="1" w:lastRow="0" w:firstColumn="0" w:lastColumn="0" w:oddVBand="0" w:evenVBand="0" w:oddHBand="0" w:evenHBand="0" w:firstRowFirstColumn="0" w:firstRowLastColumn="0" w:lastRowFirstColumn="0" w:lastRowLastColumn="0"/>
            </w:pPr>
            <w:r>
              <w:rPr>
                <w:sz w:val="19"/>
              </w:rPr>
              <w:t>F1-Score</w:t>
            </w:r>
          </w:p>
        </w:tc>
        <w:tc>
          <w:tcPr>
            <w:tcW w:w="1152" w:type="dxa"/>
          </w:tcPr>
          <w:p w:rsidR="000E6725" w:rsidRDefault="004B7759">
            <w:pPr>
              <w:spacing w:before="40" w:after="40" w:line="252" w:lineRule="auto"/>
              <w:jc w:val="center"/>
              <w:cnfStyle w:val="100000000000" w:firstRow="1" w:lastRow="0" w:firstColumn="0" w:lastColumn="0" w:oddVBand="0" w:evenVBand="0" w:oddHBand="0" w:evenHBand="0" w:firstRowFirstColumn="0" w:firstRowLastColumn="0" w:lastRowFirstColumn="0" w:lastRowLastColumn="0"/>
            </w:pPr>
            <w:r>
              <w:rPr>
                <w:sz w:val="19"/>
              </w:rPr>
              <w:t>False Discovery Rate (FDR)</w:t>
            </w:r>
          </w:p>
        </w:tc>
      </w:tr>
      <w:tr w:rsidR="000E6725" w:rsidTr="00E205C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592" w:type="dxa"/>
          </w:tcPr>
          <w:p w:rsidR="00C5588B" w:rsidRDefault="004C0054">
            <w:r>
              <w:t>Triangulated Causal ML</w:t>
            </w:r>
          </w:p>
        </w:tc>
        <w:tc>
          <w:tcPr>
            <w:tcW w:w="1152" w:type="dxa"/>
          </w:tcPr>
          <w:p w:rsidR="00C5588B" w:rsidRDefault="004C0054">
            <w:pPr>
              <w:cnfStyle w:val="000000100000" w:firstRow="0" w:lastRow="0" w:firstColumn="0" w:lastColumn="0" w:oddVBand="0" w:evenVBand="0" w:oddHBand="1" w:evenHBand="0" w:firstRowFirstColumn="0" w:firstRowLastColumn="0" w:lastRowFirstColumn="0" w:lastRowLastColumn="0"/>
            </w:pPr>
            <w:r>
              <w:t>0.8999</w:t>
            </w:r>
          </w:p>
        </w:tc>
        <w:tc>
          <w:tcPr>
            <w:tcW w:w="1152" w:type="dxa"/>
          </w:tcPr>
          <w:p w:rsidR="00C5588B" w:rsidRDefault="004C0054">
            <w:pPr>
              <w:cnfStyle w:val="000000100000" w:firstRow="0" w:lastRow="0" w:firstColumn="0" w:lastColumn="0" w:oddVBand="0" w:evenVBand="0" w:oddHBand="1" w:evenHBand="0" w:firstRowFirstColumn="0" w:firstRowLastColumn="0" w:lastRowFirstColumn="0" w:lastRowLastColumn="0"/>
            </w:pPr>
            <w:r>
              <w:t>0.8745</w:t>
            </w:r>
          </w:p>
        </w:tc>
        <w:tc>
          <w:tcPr>
            <w:tcW w:w="1152" w:type="dxa"/>
          </w:tcPr>
          <w:p w:rsidR="00C5588B" w:rsidRDefault="004C0054">
            <w:pPr>
              <w:cnfStyle w:val="000000100000" w:firstRow="0" w:lastRow="0" w:firstColumn="0" w:lastColumn="0" w:oddVBand="0" w:evenVBand="0" w:oddHBand="1" w:evenHBand="0" w:firstRowFirstColumn="0" w:firstRowLastColumn="0" w:lastRowFirstColumn="0" w:lastRowLastColumn="0"/>
            </w:pPr>
            <w:r>
              <w:t>0.9013</w:t>
            </w:r>
          </w:p>
        </w:tc>
        <w:tc>
          <w:tcPr>
            <w:tcW w:w="1152" w:type="dxa"/>
          </w:tcPr>
          <w:p w:rsidR="00C5588B" w:rsidRDefault="004C0054">
            <w:pPr>
              <w:cnfStyle w:val="000000100000" w:firstRow="0" w:lastRow="0" w:firstColumn="0" w:lastColumn="0" w:oddVBand="0" w:evenVBand="0" w:oddHBand="1" w:evenHBand="0" w:firstRowFirstColumn="0" w:firstRowLastColumn="0" w:lastRowFirstColumn="0" w:lastRowLastColumn="0"/>
            </w:pPr>
            <w:r>
              <w:t>0.5633</w:t>
            </w:r>
          </w:p>
        </w:tc>
        <w:tc>
          <w:tcPr>
            <w:tcW w:w="1152" w:type="dxa"/>
          </w:tcPr>
          <w:p w:rsidR="00C5588B" w:rsidRDefault="004C0054">
            <w:pPr>
              <w:cnfStyle w:val="000000100000" w:firstRow="0" w:lastRow="0" w:firstColumn="0" w:lastColumn="0" w:oddVBand="0" w:evenVBand="0" w:oddHBand="1" w:evenHBand="0" w:firstRowFirstColumn="0" w:firstRowLastColumn="0" w:lastRowFirstColumn="0" w:lastRowLastColumn="0"/>
            </w:pPr>
            <w:r>
              <w:t>0.6933</w:t>
            </w:r>
          </w:p>
        </w:tc>
        <w:tc>
          <w:tcPr>
            <w:tcW w:w="1152" w:type="dxa"/>
          </w:tcPr>
          <w:p w:rsidR="00C5588B" w:rsidRDefault="004C0054">
            <w:pPr>
              <w:cnfStyle w:val="000000100000" w:firstRow="0" w:lastRow="0" w:firstColumn="0" w:lastColumn="0" w:oddVBand="0" w:evenVBand="0" w:oddHBand="1" w:evenHBand="0" w:firstRowFirstColumn="0" w:firstRowLastColumn="0" w:lastRowFirstColumn="0" w:lastRowLastColumn="0"/>
            </w:pPr>
            <w:r>
              <w:t>0.0987</w:t>
            </w:r>
          </w:p>
        </w:tc>
      </w:tr>
      <w:tr w:rsidR="000E6725" w:rsidTr="00E205C5">
        <w:tc>
          <w:tcPr>
            <w:cnfStyle w:val="001000000000" w:firstRow="0" w:lastRow="0" w:firstColumn="1" w:lastColumn="0" w:oddVBand="0" w:evenVBand="0" w:oddHBand="0" w:evenHBand="0" w:firstRowFirstColumn="0" w:firstRowLastColumn="0" w:lastRowFirstColumn="0" w:lastRowLastColumn="0"/>
            <w:tcW w:w="2592" w:type="dxa"/>
          </w:tcPr>
          <w:p w:rsidR="00C5588B" w:rsidRDefault="004C0054">
            <w:proofErr w:type="spellStart"/>
            <w:r>
              <w:t>ChIP</w:t>
            </w:r>
            <w:proofErr w:type="spellEnd"/>
            <w:r>
              <w:t>-seq Prior Alone</w:t>
            </w:r>
          </w:p>
        </w:tc>
        <w:tc>
          <w:tcPr>
            <w:tcW w:w="1152" w:type="dxa"/>
          </w:tcPr>
          <w:p w:rsidR="00C5588B" w:rsidRDefault="004C0054">
            <w:pPr>
              <w:cnfStyle w:val="000000000000" w:firstRow="0" w:lastRow="0" w:firstColumn="0" w:lastColumn="0" w:oddVBand="0" w:evenVBand="0" w:oddHBand="0" w:evenHBand="0" w:firstRowFirstColumn="0" w:firstRowLastColumn="0" w:lastRowFirstColumn="0" w:lastRowLastColumn="0"/>
            </w:pPr>
            <w:r>
              <w:t>0.8890</w:t>
            </w:r>
          </w:p>
        </w:tc>
        <w:tc>
          <w:tcPr>
            <w:tcW w:w="1152" w:type="dxa"/>
          </w:tcPr>
          <w:p w:rsidR="00C5588B" w:rsidRDefault="004C0054">
            <w:pPr>
              <w:cnfStyle w:val="000000000000" w:firstRow="0" w:lastRow="0" w:firstColumn="0" w:lastColumn="0" w:oddVBand="0" w:evenVBand="0" w:oddHBand="0" w:evenHBand="0" w:firstRowFirstColumn="0" w:firstRowLastColumn="0" w:lastRowFirstColumn="0" w:lastRowLastColumn="0"/>
            </w:pPr>
            <w:r>
              <w:t>0.7228</w:t>
            </w:r>
          </w:p>
        </w:tc>
        <w:tc>
          <w:tcPr>
            <w:tcW w:w="1152" w:type="dxa"/>
          </w:tcPr>
          <w:p w:rsidR="00C5588B" w:rsidRDefault="004C0054">
            <w:pPr>
              <w:cnfStyle w:val="000000000000" w:firstRow="0" w:lastRow="0" w:firstColumn="0" w:lastColumn="0" w:oddVBand="0" w:evenVBand="0" w:oddHBand="0" w:evenHBand="0" w:firstRowFirstColumn="0" w:firstRowLastColumn="0" w:lastRowFirstColumn="0" w:lastRowLastColumn="0"/>
            </w:pPr>
            <w:r>
              <w:t>0.7560</w:t>
            </w:r>
          </w:p>
        </w:tc>
        <w:tc>
          <w:tcPr>
            <w:tcW w:w="1152" w:type="dxa"/>
          </w:tcPr>
          <w:p w:rsidR="00C5588B" w:rsidRDefault="004C0054">
            <w:pPr>
              <w:cnfStyle w:val="000000000000" w:firstRow="0" w:lastRow="0" w:firstColumn="0" w:lastColumn="0" w:oddVBand="0" w:evenVBand="0" w:oddHBand="0" w:evenHBand="0" w:firstRowFirstColumn="0" w:firstRowLastColumn="0" w:lastRowFirstColumn="0" w:lastRowLastColumn="0"/>
            </w:pPr>
            <w:r>
              <w:t>0.4725</w:t>
            </w:r>
          </w:p>
        </w:tc>
        <w:tc>
          <w:tcPr>
            <w:tcW w:w="1152" w:type="dxa"/>
          </w:tcPr>
          <w:p w:rsidR="00C5588B" w:rsidRDefault="004C0054">
            <w:pPr>
              <w:cnfStyle w:val="000000000000" w:firstRow="0" w:lastRow="0" w:firstColumn="0" w:lastColumn="0" w:oddVBand="0" w:evenVBand="0" w:oddHBand="0" w:evenHBand="0" w:firstRowFirstColumn="0" w:firstRowLastColumn="0" w:lastRowFirstColumn="0" w:lastRowLastColumn="0"/>
            </w:pPr>
            <w:r>
              <w:t>0.5815</w:t>
            </w:r>
          </w:p>
        </w:tc>
        <w:tc>
          <w:tcPr>
            <w:tcW w:w="1152" w:type="dxa"/>
          </w:tcPr>
          <w:p w:rsidR="00C5588B" w:rsidRDefault="004C0054">
            <w:pPr>
              <w:cnfStyle w:val="000000000000" w:firstRow="0" w:lastRow="0" w:firstColumn="0" w:lastColumn="0" w:oddVBand="0" w:evenVBand="0" w:oddHBand="0" w:evenHBand="0" w:firstRowFirstColumn="0" w:firstRowLastColumn="0" w:lastRowFirstColumn="0" w:lastRowLastColumn="0"/>
            </w:pPr>
            <w:r>
              <w:t>0.2440</w:t>
            </w:r>
          </w:p>
        </w:tc>
      </w:tr>
      <w:tr w:rsidR="000E6725" w:rsidTr="00E205C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592" w:type="dxa"/>
          </w:tcPr>
          <w:p w:rsidR="00C5588B" w:rsidRDefault="004C0054">
            <w:r>
              <w:t>Co-expression (Correlation)</w:t>
            </w:r>
          </w:p>
        </w:tc>
        <w:tc>
          <w:tcPr>
            <w:tcW w:w="1152" w:type="dxa"/>
          </w:tcPr>
          <w:p w:rsidR="00C5588B" w:rsidRDefault="004C0054">
            <w:pPr>
              <w:cnfStyle w:val="000000100000" w:firstRow="0" w:lastRow="0" w:firstColumn="0" w:lastColumn="0" w:oddVBand="0" w:evenVBand="0" w:oddHBand="1" w:evenHBand="0" w:firstRowFirstColumn="0" w:firstRowLastColumn="0" w:lastRowFirstColumn="0" w:lastRowLastColumn="0"/>
            </w:pPr>
            <w:r>
              <w:t>0.7292</w:t>
            </w:r>
          </w:p>
        </w:tc>
        <w:tc>
          <w:tcPr>
            <w:tcW w:w="1152" w:type="dxa"/>
          </w:tcPr>
          <w:p w:rsidR="00C5588B" w:rsidRDefault="004C0054">
            <w:pPr>
              <w:cnfStyle w:val="000000100000" w:firstRow="0" w:lastRow="0" w:firstColumn="0" w:lastColumn="0" w:oddVBand="0" w:evenVBand="0" w:oddHBand="1" w:evenHBand="0" w:firstRowFirstColumn="0" w:firstRowLastColumn="0" w:lastRowFirstColumn="0" w:lastRowLastColumn="0"/>
            </w:pPr>
            <w:r>
              <w:t>0.6814</w:t>
            </w:r>
          </w:p>
        </w:tc>
        <w:tc>
          <w:tcPr>
            <w:tcW w:w="1152" w:type="dxa"/>
          </w:tcPr>
          <w:p w:rsidR="00C5588B" w:rsidRDefault="004C0054">
            <w:pPr>
              <w:cnfStyle w:val="000000100000" w:firstRow="0" w:lastRow="0" w:firstColumn="0" w:lastColumn="0" w:oddVBand="0" w:evenVBand="0" w:oddHBand="1" w:evenHBand="0" w:firstRowFirstColumn="0" w:firstRowLastColumn="0" w:lastRowFirstColumn="0" w:lastRowLastColumn="0"/>
            </w:pPr>
            <w:r>
              <w:t>0.6773</w:t>
            </w:r>
          </w:p>
        </w:tc>
        <w:tc>
          <w:tcPr>
            <w:tcW w:w="1152" w:type="dxa"/>
          </w:tcPr>
          <w:p w:rsidR="00C5588B" w:rsidRDefault="004C0054">
            <w:pPr>
              <w:cnfStyle w:val="000000100000" w:firstRow="0" w:lastRow="0" w:firstColumn="0" w:lastColumn="0" w:oddVBand="0" w:evenVBand="0" w:oddHBand="1" w:evenHBand="0" w:firstRowFirstColumn="0" w:firstRowLastColumn="0" w:lastRowFirstColumn="0" w:lastRowLastColumn="0"/>
            </w:pPr>
            <w:r>
              <w:t>0.4233</w:t>
            </w:r>
          </w:p>
        </w:tc>
        <w:tc>
          <w:tcPr>
            <w:tcW w:w="1152" w:type="dxa"/>
          </w:tcPr>
          <w:p w:rsidR="00C5588B" w:rsidRDefault="004C0054">
            <w:pPr>
              <w:cnfStyle w:val="000000100000" w:firstRow="0" w:lastRow="0" w:firstColumn="0" w:lastColumn="0" w:oddVBand="0" w:evenVBand="0" w:oddHBand="1" w:evenHBand="0" w:firstRowFirstColumn="0" w:firstRowLastColumn="0" w:lastRowFirstColumn="0" w:lastRowLastColumn="0"/>
            </w:pPr>
            <w:r>
              <w:t>0.5210</w:t>
            </w:r>
          </w:p>
        </w:tc>
        <w:tc>
          <w:tcPr>
            <w:tcW w:w="1152" w:type="dxa"/>
          </w:tcPr>
          <w:p w:rsidR="00C5588B" w:rsidRDefault="004C0054">
            <w:pPr>
              <w:cnfStyle w:val="000000100000" w:firstRow="0" w:lastRow="0" w:firstColumn="0" w:lastColumn="0" w:oddVBand="0" w:evenVBand="0" w:oddHBand="1" w:evenHBand="0" w:firstRowFirstColumn="0" w:firstRowLastColumn="0" w:lastRowFirstColumn="0" w:lastRowLastColumn="0"/>
            </w:pPr>
            <w:r>
              <w:t>0.3227</w:t>
            </w:r>
          </w:p>
        </w:tc>
      </w:tr>
      <w:tr w:rsidR="000E6725" w:rsidTr="00E205C5">
        <w:tc>
          <w:tcPr>
            <w:cnfStyle w:val="001000000000" w:firstRow="0" w:lastRow="0" w:firstColumn="1" w:lastColumn="0" w:oddVBand="0" w:evenVBand="0" w:oddHBand="0" w:evenHBand="0" w:firstRowFirstColumn="0" w:firstRowLastColumn="0" w:lastRowFirstColumn="0" w:lastRowLastColumn="0"/>
            <w:tcW w:w="2592" w:type="dxa"/>
          </w:tcPr>
          <w:p w:rsidR="00C5588B" w:rsidRDefault="004C0054">
            <w:r>
              <w:t>GENIE3 (Tree Regression)</w:t>
            </w:r>
          </w:p>
        </w:tc>
        <w:tc>
          <w:tcPr>
            <w:tcW w:w="1152" w:type="dxa"/>
          </w:tcPr>
          <w:p w:rsidR="00C5588B" w:rsidRDefault="004C0054">
            <w:pPr>
              <w:cnfStyle w:val="000000000000" w:firstRow="0" w:lastRow="0" w:firstColumn="0" w:lastColumn="0" w:oddVBand="0" w:evenVBand="0" w:oddHBand="0" w:evenHBand="0" w:firstRowFirstColumn="0" w:firstRowLastColumn="0" w:lastRowFirstColumn="0" w:lastRowLastColumn="0"/>
            </w:pPr>
            <w:r>
              <w:t>0.6698</w:t>
            </w:r>
          </w:p>
        </w:tc>
        <w:tc>
          <w:tcPr>
            <w:tcW w:w="1152" w:type="dxa"/>
          </w:tcPr>
          <w:p w:rsidR="00C5588B" w:rsidRDefault="004C0054">
            <w:pPr>
              <w:cnfStyle w:val="000000000000" w:firstRow="0" w:lastRow="0" w:firstColumn="0" w:lastColumn="0" w:oddVBand="0" w:evenVBand="0" w:oddHBand="0" w:evenHBand="0" w:firstRowFirstColumn="0" w:firstRowLastColumn="0" w:lastRowFirstColumn="0" w:lastRowLastColumn="0"/>
            </w:pPr>
            <w:r>
              <w:t>0.6323</w:t>
            </w:r>
          </w:p>
        </w:tc>
        <w:tc>
          <w:tcPr>
            <w:tcW w:w="1152" w:type="dxa"/>
          </w:tcPr>
          <w:p w:rsidR="00C5588B" w:rsidRDefault="004C0054">
            <w:pPr>
              <w:cnfStyle w:val="000000000000" w:firstRow="0" w:lastRow="0" w:firstColumn="0" w:lastColumn="0" w:oddVBand="0" w:evenVBand="0" w:oddHBand="0" w:evenHBand="0" w:firstRowFirstColumn="0" w:firstRowLastColumn="0" w:lastRowFirstColumn="0" w:lastRowLastColumn="0"/>
            </w:pPr>
            <w:r>
              <w:t>0.6427</w:t>
            </w:r>
          </w:p>
        </w:tc>
        <w:tc>
          <w:tcPr>
            <w:tcW w:w="1152" w:type="dxa"/>
          </w:tcPr>
          <w:p w:rsidR="00C5588B" w:rsidRDefault="004C0054">
            <w:pPr>
              <w:cnfStyle w:val="000000000000" w:firstRow="0" w:lastRow="0" w:firstColumn="0" w:lastColumn="0" w:oddVBand="0" w:evenVBand="0" w:oddHBand="0" w:evenHBand="0" w:firstRowFirstColumn="0" w:firstRowLastColumn="0" w:lastRowFirstColumn="0" w:lastRowLastColumn="0"/>
            </w:pPr>
            <w:r>
              <w:t>0.4017</w:t>
            </w:r>
          </w:p>
        </w:tc>
        <w:tc>
          <w:tcPr>
            <w:tcW w:w="1152" w:type="dxa"/>
          </w:tcPr>
          <w:p w:rsidR="00C5588B" w:rsidRDefault="004C0054">
            <w:pPr>
              <w:cnfStyle w:val="000000000000" w:firstRow="0" w:lastRow="0" w:firstColumn="0" w:lastColumn="0" w:oddVBand="0" w:evenVBand="0" w:oddHBand="0" w:evenHBand="0" w:firstRowFirstColumn="0" w:firstRowLastColumn="0" w:lastRowFirstColumn="0" w:lastRowLastColumn="0"/>
            </w:pPr>
            <w:r>
              <w:t>0.4944</w:t>
            </w:r>
          </w:p>
        </w:tc>
        <w:tc>
          <w:tcPr>
            <w:tcW w:w="1152" w:type="dxa"/>
          </w:tcPr>
          <w:p w:rsidR="00C5588B" w:rsidRDefault="004C0054">
            <w:pPr>
              <w:cnfStyle w:val="000000000000" w:firstRow="0" w:lastRow="0" w:firstColumn="0" w:lastColumn="0" w:oddVBand="0" w:evenVBand="0" w:oddHBand="0" w:evenHBand="0" w:firstRowFirstColumn="0" w:firstRowLastColumn="0" w:lastRowFirstColumn="0" w:lastRowLastColumn="0"/>
            </w:pPr>
            <w:r>
              <w:t>0.3573</w:t>
            </w:r>
          </w:p>
        </w:tc>
      </w:tr>
    </w:tbl>
    <w:p w:rsidR="000E6725" w:rsidRDefault="004B7759">
      <w:pPr>
        <w:spacing w:before="60"/>
      </w:pPr>
      <w:r>
        <w:rPr>
          <w:i/>
          <w:color w:val="333333"/>
          <w:sz w:val="19"/>
        </w:rPr>
        <w:t xml:space="preserve">Note: Benchmarked against held-out experimental </w:t>
      </w:r>
      <w:proofErr w:type="spellStart"/>
      <w:r>
        <w:rPr>
          <w:i/>
          <w:color w:val="333333"/>
          <w:sz w:val="19"/>
        </w:rPr>
        <w:t>CRISPRi</w:t>
      </w:r>
      <w:proofErr w:type="spellEnd"/>
      <w:r>
        <w:rPr>
          <w:i/>
          <w:color w:val="333333"/>
          <w:sz w:val="19"/>
        </w:rPr>
        <w:t xml:space="preserve"> ground truth (|log</w:t>
      </w:r>
      <w:r>
        <w:rPr>
          <w:i/>
          <w:color w:val="333333"/>
          <w:sz w:val="19"/>
          <w:vertAlign w:val="subscript"/>
        </w:rPr>
        <w:t>2</w:t>
      </w:r>
      <w:r>
        <w:rPr>
          <w:i/>
          <w:color w:val="333333"/>
          <w:sz w:val="19"/>
        </w:rPr>
        <w:t xml:space="preserve"> FC| ≥ 0.50, |t| ≥ 3.0) and negative control edges in MDA-MB-231 cells.</w:t>
      </w:r>
    </w:p>
    <w:p w:rsidR="000E6725" w:rsidRDefault="004B7759">
      <w:pPr>
        <w:keepNext/>
        <w:spacing w:before="240" w:after="60"/>
        <w:jc w:val="left"/>
      </w:pPr>
      <w:proofErr w:type="gramStart"/>
      <w:r>
        <w:rPr>
          <w:b/>
          <w:sz w:val="25"/>
        </w:rPr>
        <w:t>3.8</w:t>
      </w:r>
      <w:proofErr w:type="gramEnd"/>
      <w:r>
        <w:rPr>
          <w:b/>
          <w:sz w:val="25"/>
        </w:rPr>
        <w:t xml:space="preserve"> In </w:t>
      </w:r>
      <w:proofErr w:type="spellStart"/>
      <w:r>
        <w:rPr>
          <w:b/>
          <w:sz w:val="25"/>
        </w:rPr>
        <w:t>Silico</w:t>
      </w:r>
      <w:proofErr w:type="spellEnd"/>
      <w:r>
        <w:rPr>
          <w:b/>
          <w:sz w:val="25"/>
        </w:rPr>
        <w:t xml:space="preserve"> Knockout Simulation and Clinical Prognostic Validation</w:t>
      </w:r>
    </w:p>
    <w:p w:rsidR="000E6725" w:rsidRDefault="004B7759">
      <w:r>
        <w:rPr>
          <w:sz w:val="22"/>
        </w:rPr>
        <w:t>In silico simulated inactivation of prioritized master regulators (JUND, MYC, EP300, CTCF) via causal model feature silencing (do(TF = 0)) correlated robustly with observed experimental single-cell CRISPRi fold changes (Pearson r = 0.688, R2 = 0.473, p = 3.37 × 10-122, N = 864 target genes; Figure 7c), confirming the predictive fidelity of the learned causal weights. In independent human clinical cohorts, multivariate Cox proportional hazards regression (Section 2.7) restricted specifically to Triple-Negative / Basal-like breast cancer patients in TCGA-BRCA (n = 160) and METABRIC (n = 320) established that high regulon expression of these prioritized drivers significantly stratified reduced overall survival: JUND (HR = 1.88, 95% CI 1.44–2.46, p &lt; 0.001), MYC (HR = 1.74, 95% CI 1.32–2.28, p &lt; 0.001), FOS (HR = 1.62, 95% CI 1.22–2.14, p = 0.001), EP300 (HR = 1.45, 95% CI 1.11–1.89, p = 0.006), and MAX (HR = 1.36, 95% CI 1.05–1.76, p = 0.019) (Figure 7d).</w:t>
      </w:r>
    </w:p>
    <w:p w:rsidR="000E6725" w:rsidRDefault="004B7759">
      <w:pPr>
        <w:keepNext/>
        <w:spacing w:before="240" w:after="60"/>
        <w:jc w:val="left"/>
      </w:pPr>
      <w:proofErr w:type="gramStart"/>
      <w:r>
        <w:rPr>
          <w:b/>
          <w:sz w:val="25"/>
        </w:rPr>
        <w:t>3.9</w:t>
      </w:r>
      <w:proofErr w:type="gramEnd"/>
      <w:r>
        <w:rPr>
          <w:b/>
          <w:sz w:val="25"/>
        </w:rPr>
        <w:t xml:space="preserve"> In </w:t>
      </w:r>
      <w:proofErr w:type="spellStart"/>
      <w:r>
        <w:rPr>
          <w:b/>
          <w:sz w:val="25"/>
        </w:rPr>
        <w:t>Silico</w:t>
      </w:r>
      <w:proofErr w:type="spellEnd"/>
      <w:r>
        <w:rPr>
          <w:b/>
          <w:sz w:val="25"/>
        </w:rPr>
        <w:t xml:space="preserve"> Therapeutic Target Vulnerability Mapping and Epigenetic Combinations</w:t>
      </w:r>
    </w:p>
    <w:p w:rsidR="000E6725" w:rsidRDefault="004B7759">
      <w:r>
        <w:t xml:space="preserve">Cross-referencing prioritized master drivers against clinical </w:t>
      </w:r>
      <w:proofErr w:type="spellStart"/>
      <w:r>
        <w:t>chemogenomic</w:t>
      </w:r>
      <w:proofErr w:type="spellEnd"/>
      <w:r>
        <w:t xml:space="preserve"> databases identified actionable small-molecule inhibitors (Figure 8a; Table 7): BET </w:t>
      </w:r>
      <w:proofErr w:type="spellStart"/>
      <w:r>
        <w:t>bromodomain</w:t>
      </w:r>
      <w:proofErr w:type="spellEnd"/>
      <w:r>
        <w:t xml:space="preserve"> inhibitors (JQ1, OTX015/</w:t>
      </w:r>
      <w:proofErr w:type="spellStart"/>
      <w:r>
        <w:t>Birabresib</w:t>
      </w:r>
      <w:proofErr w:type="spellEnd"/>
      <w:r>
        <w:t>) targeting MYC/MAX-associated super-enhancers, selective p300 HAT inhibitors (A-485, CCS1477/</w:t>
      </w:r>
      <w:proofErr w:type="spellStart"/>
      <w:r>
        <w:t>Inobrodib</w:t>
      </w:r>
      <w:proofErr w:type="spellEnd"/>
      <w:r>
        <w:t>) targeting EP300, class I HDAC inhibitors (</w:t>
      </w:r>
      <w:proofErr w:type="spellStart"/>
      <w:r>
        <w:t>Vorinostat</w:t>
      </w:r>
      <w:proofErr w:type="spellEnd"/>
      <w:r>
        <w:t xml:space="preserve">, </w:t>
      </w:r>
      <w:proofErr w:type="spellStart"/>
      <w:r>
        <w:t>Entinostat</w:t>
      </w:r>
      <w:proofErr w:type="spellEnd"/>
      <w:r>
        <w:t xml:space="preserve">) targeting HDAC2, and AP-1 inhibitors (T-5224) targeting JUND/FOS. In </w:t>
      </w:r>
      <w:proofErr w:type="spellStart"/>
      <w:r>
        <w:t>silico</w:t>
      </w:r>
      <w:proofErr w:type="spellEnd"/>
      <w:r>
        <w:t xml:space="preserve"> combinatorial intervention modeling demonstrated that standard chemotherapy achieved only 38% oncogenic network repression, whereas monotherapies achieved 54% to 62% repression (Figure 8b). In striking contrast, dual epigenetic inhibition (</w:t>
      </w:r>
      <w:proofErr w:type="spellStart"/>
      <w:r>
        <w:t>BETi</w:t>
      </w:r>
      <w:proofErr w:type="spellEnd"/>
      <w:r>
        <w:t xml:space="preserve"> + </w:t>
      </w:r>
      <w:proofErr w:type="spellStart"/>
      <w:r>
        <w:t>HATi</w:t>
      </w:r>
      <w:proofErr w:type="spellEnd"/>
      <w:r>
        <w:t xml:space="preserve">) achieved 81% repression, and </w:t>
      </w:r>
      <w:r>
        <w:lastRenderedPageBreak/>
        <w:t>triple combination therapy (</w:t>
      </w:r>
      <w:proofErr w:type="spellStart"/>
      <w:r>
        <w:t>BETi</w:t>
      </w:r>
      <w:proofErr w:type="spellEnd"/>
      <w:r>
        <w:t xml:space="preserve"> + </w:t>
      </w:r>
      <w:proofErr w:type="spellStart"/>
      <w:r>
        <w:t>HATi</w:t>
      </w:r>
      <w:proofErr w:type="spellEnd"/>
      <w:r>
        <w:t xml:space="preserve"> + </w:t>
      </w:r>
      <w:proofErr w:type="spellStart"/>
      <w:r>
        <w:t>HDACi</w:t>
      </w:r>
      <w:proofErr w:type="spellEnd"/>
      <w:r>
        <w:t xml:space="preserve">) achieved 93% in </w:t>
      </w:r>
      <w:proofErr w:type="spellStart"/>
      <w:r>
        <w:t>silico</w:t>
      </w:r>
      <w:proofErr w:type="spellEnd"/>
      <w:r>
        <w:t xml:space="preserve"> disruption of downstream oncogenic regulatory edges in the tripartite network (Figure 8b).</w:t>
      </w:r>
    </w:p>
    <w:p w:rsidR="000E6725" w:rsidRDefault="004B7759">
      <w:pPr>
        <w:keepNext/>
        <w:spacing w:before="120" w:after="80"/>
        <w:jc w:val="center"/>
      </w:pPr>
      <w:r>
        <w:rPr>
          <w:noProof/>
        </w:rPr>
        <w:drawing>
          <wp:inline distT="0" distB="0" distL="0" distR="0">
            <wp:extent cx="5669280" cy="2879509"/>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_8_Therapeutic_Vulnerabilities_and_Causal_Circuits.png"/>
                    <pic:cNvPicPr/>
                  </pic:nvPicPr>
                  <pic:blipFill>
                    <a:blip r:embed="rId13"/>
                    <a:stretch>
                      <a:fillRect/>
                    </a:stretch>
                  </pic:blipFill>
                  <pic:spPr>
                    <a:xfrm>
                      <a:off x="0" y="0"/>
                      <a:ext cx="5669280" cy="2879509"/>
                    </a:xfrm>
                    <a:prstGeom prst="rect">
                      <a:avLst/>
                    </a:prstGeom>
                  </pic:spPr>
                </pic:pic>
              </a:graphicData>
            </a:graphic>
          </wp:inline>
        </w:drawing>
      </w:r>
    </w:p>
    <w:p w:rsidR="000E6725" w:rsidRDefault="004B7759">
      <w:pPr>
        <w:spacing w:before="60" w:after="240"/>
        <w:jc w:val="left"/>
      </w:pPr>
      <w:r>
        <w:rPr>
          <w:sz w:val="19"/>
        </w:rPr>
        <w:t>Figure 8 | Translational therapeutic vulnerabilities and in silico combinatorial intervention modeling. a, Actionable target-inhibitor mappings across clinical development phases for prioritized TNBC master regulators. b, In silico topological network disruption scores comparing chemotherapy expression signatures (38% disruption), single-agent epigenetic inhibitors (54%–62%), dual targeting (BETi + HATi, 81%), and triple epigenetic combination (BETi + HATi + HDACi, 93% disruption of downstream oncogenic edges). These results represent computational network disruption scores and nominate prioritized candidate combinations for future in vitro pharmacological validation.</w:t>
      </w:r>
    </w:p>
    <w:p w:rsidR="000E6725" w:rsidRDefault="004B7759">
      <w:pPr>
        <w:keepNext/>
        <w:spacing w:before="200" w:after="40"/>
        <w:jc w:val="left"/>
      </w:pPr>
      <w:r w:rsidRPr="004B59E9">
        <w:rPr>
          <w:b/>
          <w:sz w:val="20"/>
        </w:rPr>
        <w:t>Table 7. Actionable therapeutic targets, inhibitor classes, clinical trial phases, and predicted network sensitivity scores in TNBC</w:t>
      </w:r>
      <w:r>
        <w:rPr>
          <w:b/>
          <w:sz w:val="21"/>
        </w:rPr>
        <w:t>.</w:t>
      </w:r>
    </w:p>
    <w:tbl>
      <w:tblPr>
        <w:tblStyle w:val="PlainTable2"/>
        <w:tblW w:w="0" w:type="auto"/>
        <w:tblLook w:val="04A0" w:firstRow="1" w:lastRow="0" w:firstColumn="1" w:lastColumn="0" w:noHBand="0" w:noVBand="1"/>
      </w:tblPr>
      <w:tblGrid>
        <w:gridCol w:w="1569"/>
        <w:gridCol w:w="1578"/>
        <w:gridCol w:w="1853"/>
        <w:gridCol w:w="1570"/>
        <w:gridCol w:w="1862"/>
        <w:gridCol w:w="928"/>
      </w:tblGrid>
      <w:tr w:rsidR="000E6725" w:rsidRPr="00B20635" w:rsidTr="00E205C5">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84" w:type="dxa"/>
          </w:tcPr>
          <w:p w:rsidR="000E6725" w:rsidRPr="00B20635" w:rsidRDefault="004B7759">
            <w:pPr>
              <w:spacing w:before="40" w:after="40" w:line="252" w:lineRule="auto"/>
              <w:jc w:val="center"/>
              <w:rPr>
                <w:sz w:val="16"/>
              </w:rPr>
            </w:pPr>
            <w:r w:rsidRPr="00B20635">
              <w:rPr>
                <w:sz w:val="16"/>
              </w:rPr>
              <w:t>Master Regulator</w:t>
            </w:r>
          </w:p>
        </w:tc>
        <w:tc>
          <w:tcPr>
            <w:tcW w:w="1584" w:type="dxa"/>
          </w:tcPr>
          <w:p w:rsidR="000E6725" w:rsidRPr="00B20635" w:rsidRDefault="004B7759">
            <w:pPr>
              <w:spacing w:before="40" w:after="40" w:line="252" w:lineRule="auto"/>
              <w:jc w:val="center"/>
              <w:cnfStyle w:val="100000000000" w:firstRow="1" w:lastRow="0" w:firstColumn="0" w:lastColumn="0" w:oddVBand="0" w:evenVBand="0" w:oddHBand="0" w:evenHBand="0" w:firstRowFirstColumn="0" w:firstRowLastColumn="0" w:lastRowFirstColumn="0" w:lastRowLastColumn="0"/>
              <w:rPr>
                <w:sz w:val="16"/>
              </w:rPr>
            </w:pPr>
            <w:r w:rsidRPr="00B20635">
              <w:rPr>
                <w:sz w:val="16"/>
              </w:rPr>
              <w:t>Target Mechanism</w:t>
            </w:r>
          </w:p>
        </w:tc>
        <w:tc>
          <w:tcPr>
            <w:tcW w:w="1872" w:type="dxa"/>
          </w:tcPr>
          <w:p w:rsidR="000E6725" w:rsidRPr="00B20635" w:rsidRDefault="004B7759">
            <w:pPr>
              <w:spacing w:before="40" w:after="40" w:line="252" w:lineRule="auto"/>
              <w:jc w:val="center"/>
              <w:cnfStyle w:val="100000000000" w:firstRow="1" w:lastRow="0" w:firstColumn="0" w:lastColumn="0" w:oddVBand="0" w:evenVBand="0" w:oddHBand="0" w:evenHBand="0" w:firstRowFirstColumn="0" w:firstRowLastColumn="0" w:lastRowFirstColumn="0" w:lastRowLastColumn="0"/>
              <w:rPr>
                <w:sz w:val="16"/>
              </w:rPr>
            </w:pPr>
            <w:r w:rsidRPr="00B20635">
              <w:rPr>
                <w:sz w:val="16"/>
              </w:rPr>
              <w:t>Candidate Inhibitors</w:t>
            </w:r>
          </w:p>
        </w:tc>
        <w:tc>
          <w:tcPr>
            <w:tcW w:w="1584" w:type="dxa"/>
          </w:tcPr>
          <w:p w:rsidR="000E6725" w:rsidRPr="00B20635" w:rsidRDefault="004B7759">
            <w:pPr>
              <w:spacing w:before="40" w:after="40" w:line="252" w:lineRule="auto"/>
              <w:jc w:val="center"/>
              <w:cnfStyle w:val="100000000000" w:firstRow="1" w:lastRow="0" w:firstColumn="0" w:lastColumn="0" w:oddVBand="0" w:evenVBand="0" w:oddHBand="0" w:evenHBand="0" w:firstRowFirstColumn="0" w:firstRowLastColumn="0" w:lastRowFirstColumn="0" w:lastRowLastColumn="0"/>
              <w:rPr>
                <w:sz w:val="16"/>
              </w:rPr>
            </w:pPr>
            <w:r w:rsidRPr="00B20635">
              <w:rPr>
                <w:sz w:val="16"/>
              </w:rPr>
              <w:t>Clinical Phase</w:t>
            </w:r>
          </w:p>
        </w:tc>
        <w:tc>
          <w:tcPr>
            <w:tcW w:w="1872" w:type="dxa"/>
          </w:tcPr>
          <w:p w:rsidR="000E6725" w:rsidRPr="00B20635" w:rsidRDefault="004B7759">
            <w:pPr>
              <w:spacing w:before="40" w:after="40" w:line="252" w:lineRule="auto"/>
              <w:jc w:val="center"/>
              <w:cnfStyle w:val="100000000000" w:firstRow="1" w:lastRow="0" w:firstColumn="0" w:lastColumn="0" w:oddVBand="0" w:evenVBand="0" w:oddHBand="0" w:evenHBand="0" w:firstRowFirstColumn="0" w:firstRowLastColumn="0" w:lastRowFirstColumn="0" w:lastRowLastColumn="0"/>
              <w:rPr>
                <w:sz w:val="16"/>
              </w:rPr>
            </w:pPr>
            <w:r w:rsidRPr="00B20635">
              <w:rPr>
                <w:sz w:val="16"/>
              </w:rPr>
              <w:t>Mechanism of Action</w:t>
            </w:r>
          </w:p>
        </w:tc>
        <w:tc>
          <w:tcPr>
            <w:tcW w:w="864" w:type="dxa"/>
          </w:tcPr>
          <w:p w:rsidR="000E6725" w:rsidRPr="00B20635" w:rsidRDefault="004B7759">
            <w:pPr>
              <w:spacing w:before="40" w:after="40" w:line="252" w:lineRule="auto"/>
              <w:jc w:val="center"/>
              <w:cnfStyle w:val="100000000000" w:firstRow="1" w:lastRow="0" w:firstColumn="0" w:lastColumn="0" w:oddVBand="0" w:evenVBand="0" w:oddHBand="0" w:evenHBand="0" w:firstRowFirstColumn="0" w:firstRowLastColumn="0" w:lastRowFirstColumn="0" w:lastRowLastColumn="0"/>
              <w:rPr>
                <w:sz w:val="16"/>
              </w:rPr>
            </w:pPr>
            <w:r w:rsidRPr="00B20635">
              <w:rPr>
                <w:sz w:val="16"/>
              </w:rPr>
              <w:t>Sensitivity Score</w:t>
            </w:r>
          </w:p>
        </w:tc>
      </w:tr>
      <w:tr w:rsidR="000E6725" w:rsidRPr="00B20635" w:rsidTr="00E205C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84" w:type="dxa"/>
          </w:tcPr>
          <w:p w:rsidR="000E6725" w:rsidRPr="00B20635" w:rsidRDefault="004B7759">
            <w:pPr>
              <w:spacing w:before="40" w:after="40" w:line="252" w:lineRule="auto"/>
              <w:jc w:val="left"/>
              <w:rPr>
                <w:sz w:val="16"/>
              </w:rPr>
            </w:pPr>
            <w:r w:rsidRPr="00B20635">
              <w:rPr>
                <w:sz w:val="16"/>
              </w:rPr>
              <w:t>MYC</w:t>
            </w:r>
          </w:p>
        </w:tc>
        <w:tc>
          <w:tcPr>
            <w:tcW w:w="1584" w:type="dxa"/>
          </w:tcPr>
          <w:p w:rsidR="000E6725" w:rsidRPr="00B20635" w:rsidRDefault="004B7759">
            <w:pPr>
              <w:spacing w:before="40" w:after="40" w:line="252" w:lineRule="auto"/>
              <w:jc w:val="left"/>
              <w:cnfStyle w:val="000000100000" w:firstRow="0" w:lastRow="0" w:firstColumn="0" w:lastColumn="0" w:oddVBand="0" w:evenVBand="0" w:oddHBand="1" w:evenHBand="0" w:firstRowFirstColumn="0" w:firstRowLastColumn="0" w:lastRowFirstColumn="0" w:lastRowLastColumn="0"/>
              <w:rPr>
                <w:sz w:val="16"/>
              </w:rPr>
            </w:pPr>
            <w:r w:rsidRPr="00B20635">
              <w:rPr>
                <w:sz w:val="16"/>
              </w:rPr>
              <w:t>Super-Enhancer / BRD4 Transcription</w:t>
            </w:r>
          </w:p>
        </w:tc>
        <w:tc>
          <w:tcPr>
            <w:tcW w:w="1872" w:type="dxa"/>
          </w:tcPr>
          <w:p w:rsidR="000E6725" w:rsidRPr="00B20635" w:rsidRDefault="004B7759">
            <w:pPr>
              <w:spacing w:before="40" w:after="40" w:line="252" w:lineRule="auto"/>
              <w:jc w:val="left"/>
              <w:cnfStyle w:val="000000100000" w:firstRow="0" w:lastRow="0" w:firstColumn="0" w:lastColumn="0" w:oddVBand="0" w:evenVBand="0" w:oddHBand="1" w:evenHBand="0" w:firstRowFirstColumn="0" w:firstRowLastColumn="0" w:lastRowFirstColumn="0" w:lastRowLastColumn="0"/>
              <w:rPr>
                <w:sz w:val="16"/>
              </w:rPr>
            </w:pPr>
            <w:r w:rsidRPr="00B20635">
              <w:rPr>
                <w:sz w:val="16"/>
              </w:rPr>
              <w:t>JQ1, OTX015 (</w:t>
            </w:r>
            <w:proofErr w:type="spellStart"/>
            <w:r w:rsidRPr="00B20635">
              <w:rPr>
                <w:sz w:val="16"/>
              </w:rPr>
              <w:t>Birabresib</w:t>
            </w:r>
            <w:proofErr w:type="spellEnd"/>
            <w:r w:rsidRPr="00B20635">
              <w:rPr>
                <w:sz w:val="16"/>
              </w:rPr>
              <w:t>), THZ1 (CDK7i)</w:t>
            </w:r>
          </w:p>
        </w:tc>
        <w:tc>
          <w:tcPr>
            <w:tcW w:w="1584" w:type="dxa"/>
          </w:tcPr>
          <w:p w:rsidR="000E6725" w:rsidRPr="00B20635" w:rsidRDefault="004B7759">
            <w:pPr>
              <w:spacing w:before="40" w:after="40" w:line="252" w:lineRule="auto"/>
              <w:jc w:val="center"/>
              <w:cnfStyle w:val="000000100000" w:firstRow="0" w:lastRow="0" w:firstColumn="0" w:lastColumn="0" w:oddVBand="0" w:evenVBand="0" w:oddHBand="1" w:evenHBand="0" w:firstRowFirstColumn="0" w:firstRowLastColumn="0" w:lastRowFirstColumn="0" w:lastRowLastColumn="0"/>
              <w:rPr>
                <w:sz w:val="16"/>
              </w:rPr>
            </w:pPr>
            <w:r w:rsidRPr="00B20635">
              <w:rPr>
                <w:sz w:val="16"/>
              </w:rPr>
              <w:t>Phase I/II Clinical Trials</w:t>
            </w:r>
          </w:p>
        </w:tc>
        <w:tc>
          <w:tcPr>
            <w:tcW w:w="1872" w:type="dxa"/>
          </w:tcPr>
          <w:p w:rsidR="000E6725" w:rsidRPr="00B20635" w:rsidRDefault="004B7759">
            <w:pPr>
              <w:spacing w:before="40" w:after="40" w:line="252" w:lineRule="auto"/>
              <w:jc w:val="center"/>
              <w:cnfStyle w:val="000000100000" w:firstRow="0" w:lastRow="0" w:firstColumn="0" w:lastColumn="0" w:oddVBand="0" w:evenVBand="0" w:oddHBand="1" w:evenHBand="0" w:firstRowFirstColumn="0" w:firstRowLastColumn="0" w:lastRowFirstColumn="0" w:lastRowLastColumn="0"/>
              <w:rPr>
                <w:sz w:val="16"/>
              </w:rPr>
            </w:pPr>
            <w:r w:rsidRPr="00B20635">
              <w:rPr>
                <w:sz w:val="16"/>
              </w:rPr>
              <w:t>Disrupts BRD4 chromatin remodeling at oncogenic super-enhancers</w:t>
            </w:r>
          </w:p>
        </w:tc>
        <w:tc>
          <w:tcPr>
            <w:tcW w:w="864" w:type="dxa"/>
          </w:tcPr>
          <w:p w:rsidR="000E6725" w:rsidRPr="00B20635" w:rsidRDefault="004B7759">
            <w:pPr>
              <w:spacing w:before="40" w:after="40" w:line="252" w:lineRule="auto"/>
              <w:jc w:val="center"/>
              <w:cnfStyle w:val="000000100000" w:firstRow="0" w:lastRow="0" w:firstColumn="0" w:lastColumn="0" w:oddVBand="0" w:evenVBand="0" w:oddHBand="1" w:evenHBand="0" w:firstRowFirstColumn="0" w:firstRowLastColumn="0" w:lastRowFirstColumn="0" w:lastRowLastColumn="0"/>
              <w:rPr>
                <w:sz w:val="16"/>
              </w:rPr>
            </w:pPr>
            <w:r w:rsidRPr="00B20635">
              <w:rPr>
                <w:sz w:val="16"/>
              </w:rPr>
              <w:t>0.94</w:t>
            </w:r>
          </w:p>
        </w:tc>
      </w:tr>
      <w:tr w:rsidR="000E6725" w:rsidRPr="00B20635" w:rsidTr="00E205C5">
        <w:tc>
          <w:tcPr>
            <w:cnfStyle w:val="001000000000" w:firstRow="0" w:lastRow="0" w:firstColumn="1" w:lastColumn="0" w:oddVBand="0" w:evenVBand="0" w:oddHBand="0" w:evenHBand="0" w:firstRowFirstColumn="0" w:firstRowLastColumn="0" w:lastRowFirstColumn="0" w:lastRowLastColumn="0"/>
            <w:tcW w:w="1584" w:type="dxa"/>
          </w:tcPr>
          <w:p w:rsidR="000E6725" w:rsidRPr="00B20635" w:rsidRDefault="004B7759">
            <w:pPr>
              <w:spacing w:before="40" w:after="40" w:line="252" w:lineRule="auto"/>
              <w:jc w:val="left"/>
              <w:rPr>
                <w:sz w:val="16"/>
              </w:rPr>
            </w:pPr>
            <w:r w:rsidRPr="00B20635">
              <w:rPr>
                <w:sz w:val="16"/>
              </w:rPr>
              <w:t>EP300</w:t>
            </w:r>
          </w:p>
        </w:tc>
        <w:tc>
          <w:tcPr>
            <w:tcW w:w="1584" w:type="dxa"/>
          </w:tcPr>
          <w:p w:rsidR="000E6725" w:rsidRPr="00B20635" w:rsidRDefault="004B7759">
            <w:pPr>
              <w:spacing w:before="40" w:after="40" w:line="252" w:lineRule="auto"/>
              <w:jc w:val="left"/>
              <w:cnfStyle w:val="000000000000" w:firstRow="0" w:lastRow="0" w:firstColumn="0" w:lastColumn="0" w:oddVBand="0" w:evenVBand="0" w:oddHBand="0" w:evenHBand="0" w:firstRowFirstColumn="0" w:firstRowLastColumn="0" w:lastRowFirstColumn="0" w:lastRowLastColumn="0"/>
              <w:rPr>
                <w:sz w:val="16"/>
              </w:rPr>
            </w:pPr>
            <w:r w:rsidRPr="00B20635">
              <w:rPr>
                <w:sz w:val="16"/>
              </w:rPr>
              <w:t>Histone Acetyltransferase (HAT) Domain</w:t>
            </w:r>
          </w:p>
        </w:tc>
        <w:tc>
          <w:tcPr>
            <w:tcW w:w="1872" w:type="dxa"/>
          </w:tcPr>
          <w:p w:rsidR="000E6725" w:rsidRPr="00B20635" w:rsidRDefault="004B7759">
            <w:pPr>
              <w:spacing w:before="40" w:after="40" w:line="252" w:lineRule="auto"/>
              <w:jc w:val="left"/>
              <w:cnfStyle w:val="000000000000" w:firstRow="0" w:lastRow="0" w:firstColumn="0" w:lastColumn="0" w:oddVBand="0" w:evenVBand="0" w:oddHBand="0" w:evenHBand="0" w:firstRowFirstColumn="0" w:firstRowLastColumn="0" w:lastRowFirstColumn="0" w:lastRowLastColumn="0"/>
              <w:rPr>
                <w:sz w:val="16"/>
              </w:rPr>
            </w:pPr>
            <w:r w:rsidRPr="00B20635">
              <w:rPr>
                <w:sz w:val="16"/>
              </w:rPr>
              <w:t>A-485, CCS1477 (</w:t>
            </w:r>
            <w:proofErr w:type="spellStart"/>
            <w:r w:rsidRPr="00B20635">
              <w:rPr>
                <w:sz w:val="16"/>
              </w:rPr>
              <w:t>Inobrodib</w:t>
            </w:r>
            <w:proofErr w:type="spellEnd"/>
            <w:r w:rsidRPr="00B20635">
              <w:rPr>
                <w:sz w:val="16"/>
              </w:rPr>
              <w:t>)</w:t>
            </w:r>
          </w:p>
        </w:tc>
        <w:tc>
          <w:tcPr>
            <w:tcW w:w="1584" w:type="dxa"/>
          </w:tcPr>
          <w:p w:rsidR="000E6725" w:rsidRPr="00B20635" w:rsidRDefault="004B7759">
            <w:pPr>
              <w:spacing w:before="40" w:after="40" w:line="252" w:lineRule="auto"/>
              <w:jc w:val="center"/>
              <w:cnfStyle w:val="000000000000" w:firstRow="0" w:lastRow="0" w:firstColumn="0" w:lastColumn="0" w:oddVBand="0" w:evenVBand="0" w:oddHBand="0" w:evenHBand="0" w:firstRowFirstColumn="0" w:firstRowLastColumn="0" w:lastRowFirstColumn="0" w:lastRowLastColumn="0"/>
              <w:rPr>
                <w:sz w:val="16"/>
              </w:rPr>
            </w:pPr>
            <w:r w:rsidRPr="00B20635">
              <w:rPr>
                <w:sz w:val="16"/>
              </w:rPr>
              <w:t>Phase I/II Clinical Trials</w:t>
            </w:r>
          </w:p>
        </w:tc>
        <w:tc>
          <w:tcPr>
            <w:tcW w:w="1872" w:type="dxa"/>
          </w:tcPr>
          <w:p w:rsidR="000E6725" w:rsidRPr="00B20635" w:rsidRDefault="004B7759">
            <w:pPr>
              <w:spacing w:before="40" w:after="40" w:line="252" w:lineRule="auto"/>
              <w:jc w:val="center"/>
              <w:cnfStyle w:val="000000000000" w:firstRow="0" w:lastRow="0" w:firstColumn="0" w:lastColumn="0" w:oddVBand="0" w:evenVBand="0" w:oddHBand="0" w:evenHBand="0" w:firstRowFirstColumn="0" w:firstRowLastColumn="0" w:lastRowFirstColumn="0" w:lastRowLastColumn="0"/>
              <w:rPr>
                <w:sz w:val="16"/>
              </w:rPr>
            </w:pPr>
            <w:r w:rsidRPr="00B20635">
              <w:rPr>
                <w:sz w:val="16"/>
              </w:rPr>
              <w:t>Blocks histone H3K27 acetylation, collapsing enhancer clusters</w:t>
            </w:r>
          </w:p>
        </w:tc>
        <w:tc>
          <w:tcPr>
            <w:tcW w:w="864" w:type="dxa"/>
          </w:tcPr>
          <w:p w:rsidR="000E6725" w:rsidRPr="00B20635" w:rsidRDefault="004B7759">
            <w:pPr>
              <w:spacing w:before="40" w:after="40" w:line="252" w:lineRule="auto"/>
              <w:jc w:val="center"/>
              <w:cnfStyle w:val="000000000000" w:firstRow="0" w:lastRow="0" w:firstColumn="0" w:lastColumn="0" w:oddVBand="0" w:evenVBand="0" w:oddHBand="0" w:evenHBand="0" w:firstRowFirstColumn="0" w:firstRowLastColumn="0" w:lastRowFirstColumn="0" w:lastRowLastColumn="0"/>
              <w:rPr>
                <w:sz w:val="16"/>
              </w:rPr>
            </w:pPr>
            <w:r w:rsidRPr="00B20635">
              <w:rPr>
                <w:sz w:val="16"/>
              </w:rPr>
              <w:t>0.89</w:t>
            </w:r>
          </w:p>
        </w:tc>
      </w:tr>
      <w:tr w:rsidR="000E6725" w:rsidRPr="00B20635" w:rsidTr="00E205C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84" w:type="dxa"/>
          </w:tcPr>
          <w:p w:rsidR="000E6725" w:rsidRPr="00B20635" w:rsidRDefault="004B7759">
            <w:pPr>
              <w:spacing w:before="40" w:after="40" w:line="252" w:lineRule="auto"/>
              <w:jc w:val="left"/>
              <w:rPr>
                <w:sz w:val="16"/>
              </w:rPr>
            </w:pPr>
            <w:r w:rsidRPr="00B20635">
              <w:rPr>
                <w:sz w:val="16"/>
              </w:rPr>
              <w:t>HDAC2</w:t>
            </w:r>
          </w:p>
        </w:tc>
        <w:tc>
          <w:tcPr>
            <w:tcW w:w="1584" w:type="dxa"/>
          </w:tcPr>
          <w:p w:rsidR="000E6725" w:rsidRPr="00B20635" w:rsidRDefault="004B7759">
            <w:pPr>
              <w:spacing w:before="40" w:after="40" w:line="252" w:lineRule="auto"/>
              <w:jc w:val="left"/>
              <w:cnfStyle w:val="000000100000" w:firstRow="0" w:lastRow="0" w:firstColumn="0" w:lastColumn="0" w:oddVBand="0" w:evenVBand="0" w:oddHBand="1" w:evenHBand="0" w:firstRowFirstColumn="0" w:firstRowLastColumn="0" w:lastRowFirstColumn="0" w:lastRowLastColumn="0"/>
              <w:rPr>
                <w:sz w:val="16"/>
              </w:rPr>
            </w:pPr>
            <w:r w:rsidRPr="00B20635">
              <w:rPr>
                <w:sz w:val="16"/>
              </w:rPr>
              <w:t>Class I Histone Deacetylase</w:t>
            </w:r>
          </w:p>
        </w:tc>
        <w:tc>
          <w:tcPr>
            <w:tcW w:w="1872" w:type="dxa"/>
          </w:tcPr>
          <w:p w:rsidR="000E6725" w:rsidRPr="00B20635" w:rsidRDefault="004B7759">
            <w:pPr>
              <w:spacing w:before="40" w:after="40" w:line="252" w:lineRule="auto"/>
              <w:jc w:val="left"/>
              <w:cnfStyle w:val="000000100000" w:firstRow="0" w:lastRow="0" w:firstColumn="0" w:lastColumn="0" w:oddVBand="0" w:evenVBand="0" w:oddHBand="1" w:evenHBand="0" w:firstRowFirstColumn="0" w:firstRowLastColumn="0" w:lastRowFirstColumn="0" w:lastRowLastColumn="0"/>
              <w:rPr>
                <w:sz w:val="16"/>
              </w:rPr>
            </w:pPr>
            <w:proofErr w:type="spellStart"/>
            <w:r w:rsidRPr="00B20635">
              <w:rPr>
                <w:sz w:val="16"/>
              </w:rPr>
              <w:t>Vorinostat</w:t>
            </w:r>
            <w:proofErr w:type="spellEnd"/>
            <w:r w:rsidRPr="00B20635">
              <w:rPr>
                <w:sz w:val="16"/>
              </w:rPr>
              <w:t xml:space="preserve"> (SAHA), </w:t>
            </w:r>
            <w:proofErr w:type="spellStart"/>
            <w:r w:rsidRPr="00B20635">
              <w:rPr>
                <w:sz w:val="16"/>
              </w:rPr>
              <w:t>Entinostat</w:t>
            </w:r>
            <w:proofErr w:type="spellEnd"/>
            <w:r w:rsidRPr="00B20635">
              <w:rPr>
                <w:sz w:val="16"/>
              </w:rPr>
              <w:t xml:space="preserve">, </w:t>
            </w:r>
            <w:proofErr w:type="spellStart"/>
            <w:r w:rsidRPr="00B20635">
              <w:rPr>
                <w:sz w:val="16"/>
              </w:rPr>
              <w:t>Panobinostat</w:t>
            </w:r>
            <w:proofErr w:type="spellEnd"/>
          </w:p>
        </w:tc>
        <w:tc>
          <w:tcPr>
            <w:tcW w:w="1584" w:type="dxa"/>
          </w:tcPr>
          <w:p w:rsidR="000E6725" w:rsidRPr="00B20635" w:rsidRDefault="004B7759">
            <w:pPr>
              <w:spacing w:before="40" w:after="40" w:line="252" w:lineRule="auto"/>
              <w:jc w:val="center"/>
              <w:cnfStyle w:val="000000100000" w:firstRow="0" w:lastRow="0" w:firstColumn="0" w:lastColumn="0" w:oddVBand="0" w:evenVBand="0" w:oddHBand="1" w:evenHBand="0" w:firstRowFirstColumn="0" w:firstRowLastColumn="0" w:lastRowFirstColumn="0" w:lastRowLastColumn="0"/>
              <w:rPr>
                <w:sz w:val="16"/>
              </w:rPr>
            </w:pPr>
            <w:r w:rsidRPr="00B20635">
              <w:rPr>
                <w:sz w:val="16"/>
              </w:rPr>
              <w:t>FDA Approved / Phase II in TNBC</w:t>
            </w:r>
          </w:p>
        </w:tc>
        <w:tc>
          <w:tcPr>
            <w:tcW w:w="1872" w:type="dxa"/>
          </w:tcPr>
          <w:p w:rsidR="000E6725" w:rsidRPr="00B20635" w:rsidRDefault="004B7759">
            <w:pPr>
              <w:spacing w:before="40" w:after="40" w:line="252" w:lineRule="auto"/>
              <w:jc w:val="center"/>
              <w:cnfStyle w:val="000000100000" w:firstRow="0" w:lastRow="0" w:firstColumn="0" w:lastColumn="0" w:oddVBand="0" w:evenVBand="0" w:oddHBand="1" w:evenHBand="0" w:firstRowFirstColumn="0" w:firstRowLastColumn="0" w:lastRowFirstColumn="0" w:lastRowLastColumn="0"/>
              <w:rPr>
                <w:sz w:val="16"/>
              </w:rPr>
            </w:pPr>
            <w:r w:rsidRPr="00B20635">
              <w:rPr>
                <w:sz w:val="16"/>
              </w:rPr>
              <w:t>Reverses epigenetic silencing of pro-apoptotic genes</w:t>
            </w:r>
          </w:p>
        </w:tc>
        <w:tc>
          <w:tcPr>
            <w:tcW w:w="864" w:type="dxa"/>
          </w:tcPr>
          <w:p w:rsidR="000E6725" w:rsidRPr="00B20635" w:rsidRDefault="004B7759">
            <w:pPr>
              <w:spacing w:before="40" w:after="40" w:line="252" w:lineRule="auto"/>
              <w:jc w:val="center"/>
              <w:cnfStyle w:val="000000100000" w:firstRow="0" w:lastRow="0" w:firstColumn="0" w:lastColumn="0" w:oddVBand="0" w:evenVBand="0" w:oddHBand="1" w:evenHBand="0" w:firstRowFirstColumn="0" w:firstRowLastColumn="0" w:lastRowFirstColumn="0" w:lastRowLastColumn="0"/>
              <w:rPr>
                <w:sz w:val="16"/>
              </w:rPr>
            </w:pPr>
            <w:r w:rsidRPr="00B20635">
              <w:rPr>
                <w:sz w:val="16"/>
              </w:rPr>
              <w:t>0.85</w:t>
            </w:r>
          </w:p>
        </w:tc>
      </w:tr>
      <w:tr w:rsidR="000E6725" w:rsidRPr="00B20635" w:rsidTr="00E205C5">
        <w:tc>
          <w:tcPr>
            <w:cnfStyle w:val="001000000000" w:firstRow="0" w:lastRow="0" w:firstColumn="1" w:lastColumn="0" w:oddVBand="0" w:evenVBand="0" w:oddHBand="0" w:evenHBand="0" w:firstRowFirstColumn="0" w:firstRowLastColumn="0" w:lastRowFirstColumn="0" w:lastRowLastColumn="0"/>
            <w:tcW w:w="1584" w:type="dxa"/>
          </w:tcPr>
          <w:p w:rsidR="000E6725" w:rsidRPr="00B20635" w:rsidRDefault="004B7759">
            <w:pPr>
              <w:spacing w:before="40" w:after="40" w:line="252" w:lineRule="auto"/>
              <w:jc w:val="left"/>
              <w:rPr>
                <w:sz w:val="16"/>
              </w:rPr>
            </w:pPr>
            <w:r w:rsidRPr="00B20635">
              <w:rPr>
                <w:sz w:val="16"/>
              </w:rPr>
              <w:t>JUND / FOS</w:t>
            </w:r>
          </w:p>
        </w:tc>
        <w:tc>
          <w:tcPr>
            <w:tcW w:w="1584" w:type="dxa"/>
          </w:tcPr>
          <w:p w:rsidR="000E6725" w:rsidRPr="00B20635" w:rsidRDefault="004B7759">
            <w:pPr>
              <w:spacing w:before="40" w:after="40" w:line="252" w:lineRule="auto"/>
              <w:jc w:val="left"/>
              <w:cnfStyle w:val="000000000000" w:firstRow="0" w:lastRow="0" w:firstColumn="0" w:lastColumn="0" w:oddVBand="0" w:evenVBand="0" w:oddHBand="0" w:evenHBand="0" w:firstRowFirstColumn="0" w:firstRowLastColumn="0" w:lastRowFirstColumn="0" w:lastRowLastColumn="0"/>
              <w:rPr>
                <w:sz w:val="16"/>
              </w:rPr>
            </w:pPr>
            <w:r w:rsidRPr="00B20635">
              <w:rPr>
                <w:sz w:val="16"/>
              </w:rPr>
              <w:t>AP-1 Dimerization &amp; DNA Binding</w:t>
            </w:r>
          </w:p>
        </w:tc>
        <w:tc>
          <w:tcPr>
            <w:tcW w:w="1872" w:type="dxa"/>
          </w:tcPr>
          <w:p w:rsidR="000E6725" w:rsidRPr="00B20635" w:rsidRDefault="004B7759">
            <w:pPr>
              <w:spacing w:before="40" w:after="40" w:line="252" w:lineRule="auto"/>
              <w:jc w:val="left"/>
              <w:cnfStyle w:val="000000000000" w:firstRow="0" w:lastRow="0" w:firstColumn="0" w:lastColumn="0" w:oddVBand="0" w:evenVBand="0" w:oddHBand="0" w:evenHBand="0" w:firstRowFirstColumn="0" w:firstRowLastColumn="0" w:lastRowFirstColumn="0" w:lastRowLastColumn="0"/>
              <w:rPr>
                <w:sz w:val="16"/>
              </w:rPr>
            </w:pPr>
            <w:r w:rsidRPr="00B20635">
              <w:rPr>
                <w:sz w:val="16"/>
              </w:rPr>
              <w:t xml:space="preserve">T-5224, </w:t>
            </w:r>
            <w:proofErr w:type="spellStart"/>
            <w:r w:rsidRPr="00B20635">
              <w:rPr>
                <w:sz w:val="16"/>
              </w:rPr>
              <w:t>Verteporfin</w:t>
            </w:r>
            <w:proofErr w:type="spellEnd"/>
          </w:p>
        </w:tc>
        <w:tc>
          <w:tcPr>
            <w:tcW w:w="1584" w:type="dxa"/>
          </w:tcPr>
          <w:p w:rsidR="000E6725" w:rsidRPr="00B20635" w:rsidRDefault="004B7759">
            <w:pPr>
              <w:spacing w:before="40" w:after="40" w:line="252" w:lineRule="auto"/>
              <w:jc w:val="center"/>
              <w:cnfStyle w:val="000000000000" w:firstRow="0" w:lastRow="0" w:firstColumn="0" w:lastColumn="0" w:oddVBand="0" w:evenVBand="0" w:oddHBand="0" w:evenHBand="0" w:firstRowFirstColumn="0" w:firstRowLastColumn="0" w:lastRowFirstColumn="0" w:lastRowLastColumn="0"/>
              <w:rPr>
                <w:sz w:val="16"/>
              </w:rPr>
            </w:pPr>
            <w:r w:rsidRPr="00B20635">
              <w:rPr>
                <w:sz w:val="16"/>
              </w:rPr>
              <w:t>Preclinical / Repurposed</w:t>
            </w:r>
          </w:p>
        </w:tc>
        <w:tc>
          <w:tcPr>
            <w:tcW w:w="1872" w:type="dxa"/>
          </w:tcPr>
          <w:p w:rsidR="000E6725" w:rsidRPr="00B20635" w:rsidRDefault="004B7759">
            <w:pPr>
              <w:spacing w:before="40" w:after="40" w:line="252" w:lineRule="auto"/>
              <w:jc w:val="center"/>
              <w:cnfStyle w:val="000000000000" w:firstRow="0" w:lastRow="0" w:firstColumn="0" w:lastColumn="0" w:oddVBand="0" w:evenVBand="0" w:oddHBand="0" w:evenHBand="0" w:firstRowFirstColumn="0" w:firstRowLastColumn="0" w:lastRowFirstColumn="0" w:lastRowLastColumn="0"/>
              <w:rPr>
                <w:sz w:val="16"/>
              </w:rPr>
            </w:pPr>
            <w:r w:rsidRPr="00B20635">
              <w:rPr>
                <w:sz w:val="16"/>
              </w:rPr>
              <w:t>Inhibits AP-1 DNA binding; suppresses EMT and metastasis</w:t>
            </w:r>
          </w:p>
        </w:tc>
        <w:tc>
          <w:tcPr>
            <w:tcW w:w="864" w:type="dxa"/>
          </w:tcPr>
          <w:p w:rsidR="000E6725" w:rsidRPr="00B20635" w:rsidRDefault="004B7759">
            <w:pPr>
              <w:spacing w:before="40" w:after="40" w:line="252" w:lineRule="auto"/>
              <w:jc w:val="center"/>
              <w:cnfStyle w:val="000000000000" w:firstRow="0" w:lastRow="0" w:firstColumn="0" w:lastColumn="0" w:oddVBand="0" w:evenVBand="0" w:oddHBand="0" w:evenHBand="0" w:firstRowFirstColumn="0" w:firstRowLastColumn="0" w:lastRowFirstColumn="0" w:lastRowLastColumn="0"/>
              <w:rPr>
                <w:sz w:val="16"/>
              </w:rPr>
            </w:pPr>
            <w:r w:rsidRPr="00B20635">
              <w:rPr>
                <w:sz w:val="16"/>
              </w:rPr>
              <w:t>0.82</w:t>
            </w:r>
          </w:p>
        </w:tc>
      </w:tr>
      <w:tr w:rsidR="000E6725" w:rsidRPr="00B20635" w:rsidTr="00E205C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84" w:type="dxa"/>
          </w:tcPr>
          <w:p w:rsidR="000E6725" w:rsidRPr="00B20635" w:rsidRDefault="004B7759">
            <w:pPr>
              <w:spacing w:before="40" w:after="40" w:line="252" w:lineRule="auto"/>
              <w:jc w:val="left"/>
              <w:rPr>
                <w:sz w:val="16"/>
              </w:rPr>
            </w:pPr>
            <w:r w:rsidRPr="00B20635">
              <w:rPr>
                <w:sz w:val="16"/>
              </w:rPr>
              <w:t>SP1</w:t>
            </w:r>
          </w:p>
        </w:tc>
        <w:tc>
          <w:tcPr>
            <w:tcW w:w="1584" w:type="dxa"/>
          </w:tcPr>
          <w:p w:rsidR="000E6725" w:rsidRPr="00B20635" w:rsidRDefault="004B7759">
            <w:pPr>
              <w:spacing w:before="40" w:after="40" w:line="252" w:lineRule="auto"/>
              <w:jc w:val="left"/>
              <w:cnfStyle w:val="000000100000" w:firstRow="0" w:lastRow="0" w:firstColumn="0" w:lastColumn="0" w:oddVBand="0" w:evenVBand="0" w:oddHBand="1" w:evenHBand="0" w:firstRowFirstColumn="0" w:firstRowLastColumn="0" w:lastRowFirstColumn="0" w:lastRowLastColumn="0"/>
              <w:rPr>
                <w:sz w:val="16"/>
              </w:rPr>
            </w:pPr>
            <w:r w:rsidRPr="00B20635">
              <w:rPr>
                <w:sz w:val="16"/>
              </w:rPr>
              <w:t>Zinc Finger Transcription Factor</w:t>
            </w:r>
          </w:p>
        </w:tc>
        <w:tc>
          <w:tcPr>
            <w:tcW w:w="1872" w:type="dxa"/>
          </w:tcPr>
          <w:p w:rsidR="000E6725" w:rsidRPr="00B20635" w:rsidRDefault="004B7759">
            <w:pPr>
              <w:spacing w:before="40" w:after="40" w:line="252" w:lineRule="auto"/>
              <w:jc w:val="left"/>
              <w:cnfStyle w:val="000000100000" w:firstRow="0" w:lastRow="0" w:firstColumn="0" w:lastColumn="0" w:oddVBand="0" w:evenVBand="0" w:oddHBand="1" w:evenHBand="0" w:firstRowFirstColumn="0" w:firstRowLastColumn="0" w:lastRowFirstColumn="0" w:lastRowLastColumn="0"/>
              <w:rPr>
                <w:sz w:val="16"/>
              </w:rPr>
            </w:pPr>
            <w:proofErr w:type="spellStart"/>
            <w:r w:rsidRPr="00B20635">
              <w:rPr>
                <w:sz w:val="16"/>
              </w:rPr>
              <w:t>Mithramycin</w:t>
            </w:r>
            <w:proofErr w:type="spellEnd"/>
            <w:r w:rsidRPr="00B20635">
              <w:rPr>
                <w:sz w:val="16"/>
              </w:rPr>
              <w:t xml:space="preserve"> A, EC-8042</w:t>
            </w:r>
          </w:p>
        </w:tc>
        <w:tc>
          <w:tcPr>
            <w:tcW w:w="1584" w:type="dxa"/>
          </w:tcPr>
          <w:p w:rsidR="000E6725" w:rsidRPr="00B20635" w:rsidRDefault="004B7759">
            <w:pPr>
              <w:spacing w:before="40" w:after="40" w:line="252" w:lineRule="auto"/>
              <w:jc w:val="center"/>
              <w:cnfStyle w:val="000000100000" w:firstRow="0" w:lastRow="0" w:firstColumn="0" w:lastColumn="0" w:oddVBand="0" w:evenVBand="0" w:oddHBand="1" w:evenHBand="0" w:firstRowFirstColumn="0" w:firstRowLastColumn="0" w:lastRowFirstColumn="0" w:lastRowLastColumn="0"/>
              <w:rPr>
                <w:sz w:val="16"/>
              </w:rPr>
            </w:pPr>
            <w:r w:rsidRPr="00B20635">
              <w:rPr>
                <w:sz w:val="16"/>
              </w:rPr>
              <w:t>Phase I / Preclinical</w:t>
            </w:r>
          </w:p>
        </w:tc>
        <w:tc>
          <w:tcPr>
            <w:tcW w:w="1872" w:type="dxa"/>
          </w:tcPr>
          <w:p w:rsidR="000E6725" w:rsidRPr="00B20635" w:rsidRDefault="004B7759">
            <w:pPr>
              <w:spacing w:before="40" w:after="40" w:line="252" w:lineRule="auto"/>
              <w:jc w:val="center"/>
              <w:cnfStyle w:val="000000100000" w:firstRow="0" w:lastRow="0" w:firstColumn="0" w:lastColumn="0" w:oddVBand="0" w:evenVBand="0" w:oddHBand="1" w:evenHBand="0" w:firstRowFirstColumn="0" w:firstRowLastColumn="0" w:lastRowFirstColumn="0" w:lastRowLastColumn="0"/>
              <w:rPr>
                <w:sz w:val="16"/>
              </w:rPr>
            </w:pPr>
            <w:r w:rsidRPr="00B20635">
              <w:rPr>
                <w:sz w:val="16"/>
              </w:rPr>
              <w:t>Binds GC-rich promoters, displacing oncogenic transcriptional initiation</w:t>
            </w:r>
          </w:p>
        </w:tc>
        <w:tc>
          <w:tcPr>
            <w:tcW w:w="864" w:type="dxa"/>
          </w:tcPr>
          <w:p w:rsidR="000E6725" w:rsidRPr="00B20635" w:rsidRDefault="004B7759">
            <w:pPr>
              <w:spacing w:before="40" w:after="40" w:line="252" w:lineRule="auto"/>
              <w:jc w:val="center"/>
              <w:cnfStyle w:val="000000100000" w:firstRow="0" w:lastRow="0" w:firstColumn="0" w:lastColumn="0" w:oddVBand="0" w:evenVBand="0" w:oddHBand="1" w:evenHBand="0" w:firstRowFirstColumn="0" w:firstRowLastColumn="0" w:lastRowFirstColumn="0" w:lastRowLastColumn="0"/>
              <w:rPr>
                <w:sz w:val="16"/>
              </w:rPr>
            </w:pPr>
            <w:r w:rsidRPr="00B20635">
              <w:rPr>
                <w:sz w:val="16"/>
              </w:rPr>
              <w:t>0.78</w:t>
            </w:r>
          </w:p>
        </w:tc>
      </w:tr>
      <w:tr w:rsidR="000E6725" w:rsidRPr="00B20635" w:rsidTr="00E205C5">
        <w:tc>
          <w:tcPr>
            <w:cnfStyle w:val="001000000000" w:firstRow="0" w:lastRow="0" w:firstColumn="1" w:lastColumn="0" w:oddVBand="0" w:evenVBand="0" w:oddHBand="0" w:evenHBand="0" w:firstRowFirstColumn="0" w:firstRowLastColumn="0" w:lastRowFirstColumn="0" w:lastRowLastColumn="0"/>
            <w:tcW w:w="1584" w:type="dxa"/>
          </w:tcPr>
          <w:p w:rsidR="000E6725" w:rsidRPr="00B20635" w:rsidRDefault="004B7759">
            <w:pPr>
              <w:spacing w:before="40" w:after="40" w:line="252" w:lineRule="auto"/>
              <w:jc w:val="left"/>
              <w:rPr>
                <w:sz w:val="16"/>
              </w:rPr>
            </w:pPr>
            <w:r w:rsidRPr="00B20635">
              <w:rPr>
                <w:sz w:val="16"/>
              </w:rPr>
              <w:t>MAX</w:t>
            </w:r>
          </w:p>
        </w:tc>
        <w:tc>
          <w:tcPr>
            <w:tcW w:w="1584" w:type="dxa"/>
          </w:tcPr>
          <w:p w:rsidR="000E6725" w:rsidRPr="00B20635" w:rsidRDefault="004B7759">
            <w:pPr>
              <w:spacing w:before="40" w:after="40" w:line="252" w:lineRule="auto"/>
              <w:jc w:val="left"/>
              <w:cnfStyle w:val="000000000000" w:firstRow="0" w:lastRow="0" w:firstColumn="0" w:lastColumn="0" w:oddVBand="0" w:evenVBand="0" w:oddHBand="0" w:evenHBand="0" w:firstRowFirstColumn="0" w:firstRowLastColumn="0" w:lastRowFirstColumn="0" w:lastRowLastColumn="0"/>
              <w:rPr>
                <w:sz w:val="16"/>
              </w:rPr>
            </w:pPr>
            <w:r w:rsidRPr="00B20635">
              <w:rPr>
                <w:sz w:val="16"/>
              </w:rPr>
              <w:t>MYC-MAX Dimerization Interface</w:t>
            </w:r>
          </w:p>
        </w:tc>
        <w:tc>
          <w:tcPr>
            <w:tcW w:w="1872" w:type="dxa"/>
          </w:tcPr>
          <w:p w:rsidR="000E6725" w:rsidRPr="00B20635" w:rsidRDefault="004B7759">
            <w:pPr>
              <w:spacing w:before="40" w:after="40" w:line="252" w:lineRule="auto"/>
              <w:jc w:val="left"/>
              <w:cnfStyle w:val="000000000000" w:firstRow="0" w:lastRow="0" w:firstColumn="0" w:lastColumn="0" w:oddVBand="0" w:evenVBand="0" w:oddHBand="0" w:evenHBand="0" w:firstRowFirstColumn="0" w:firstRowLastColumn="0" w:lastRowFirstColumn="0" w:lastRowLastColumn="0"/>
              <w:rPr>
                <w:sz w:val="16"/>
              </w:rPr>
            </w:pPr>
            <w:r w:rsidRPr="00B20635">
              <w:rPr>
                <w:sz w:val="16"/>
              </w:rPr>
              <w:t>10058-F4, MYCMI-6</w:t>
            </w:r>
          </w:p>
        </w:tc>
        <w:tc>
          <w:tcPr>
            <w:tcW w:w="1584" w:type="dxa"/>
          </w:tcPr>
          <w:p w:rsidR="000E6725" w:rsidRPr="00B20635" w:rsidRDefault="004B7759">
            <w:pPr>
              <w:spacing w:before="40" w:after="40" w:line="252" w:lineRule="auto"/>
              <w:jc w:val="center"/>
              <w:cnfStyle w:val="000000000000" w:firstRow="0" w:lastRow="0" w:firstColumn="0" w:lastColumn="0" w:oddVBand="0" w:evenVBand="0" w:oddHBand="0" w:evenHBand="0" w:firstRowFirstColumn="0" w:firstRowLastColumn="0" w:lastRowFirstColumn="0" w:lastRowLastColumn="0"/>
              <w:rPr>
                <w:sz w:val="16"/>
              </w:rPr>
            </w:pPr>
            <w:r w:rsidRPr="00B20635">
              <w:rPr>
                <w:sz w:val="16"/>
              </w:rPr>
              <w:t>Preclinical Evaluation</w:t>
            </w:r>
          </w:p>
        </w:tc>
        <w:tc>
          <w:tcPr>
            <w:tcW w:w="1872" w:type="dxa"/>
          </w:tcPr>
          <w:p w:rsidR="000E6725" w:rsidRPr="00B20635" w:rsidRDefault="004B7759">
            <w:pPr>
              <w:spacing w:before="40" w:after="40" w:line="252" w:lineRule="auto"/>
              <w:jc w:val="center"/>
              <w:cnfStyle w:val="000000000000" w:firstRow="0" w:lastRow="0" w:firstColumn="0" w:lastColumn="0" w:oddVBand="0" w:evenVBand="0" w:oddHBand="0" w:evenHBand="0" w:firstRowFirstColumn="0" w:firstRowLastColumn="0" w:lastRowFirstColumn="0" w:lastRowLastColumn="0"/>
              <w:rPr>
                <w:sz w:val="16"/>
              </w:rPr>
            </w:pPr>
            <w:r w:rsidRPr="00B20635">
              <w:rPr>
                <w:sz w:val="16"/>
              </w:rPr>
              <w:t xml:space="preserve">Directly disrupts </w:t>
            </w:r>
            <w:proofErr w:type="spellStart"/>
            <w:r w:rsidRPr="00B20635">
              <w:rPr>
                <w:sz w:val="16"/>
              </w:rPr>
              <w:t>heterodimerization</w:t>
            </w:r>
            <w:proofErr w:type="spellEnd"/>
            <w:r w:rsidRPr="00B20635">
              <w:rPr>
                <w:sz w:val="16"/>
              </w:rPr>
              <w:t xml:space="preserve"> with MYC to block target transactivation</w:t>
            </w:r>
          </w:p>
        </w:tc>
        <w:tc>
          <w:tcPr>
            <w:tcW w:w="864" w:type="dxa"/>
          </w:tcPr>
          <w:p w:rsidR="000E6725" w:rsidRPr="00B20635" w:rsidRDefault="004B7759">
            <w:pPr>
              <w:spacing w:before="40" w:after="40" w:line="252" w:lineRule="auto"/>
              <w:jc w:val="center"/>
              <w:cnfStyle w:val="000000000000" w:firstRow="0" w:lastRow="0" w:firstColumn="0" w:lastColumn="0" w:oddVBand="0" w:evenVBand="0" w:oddHBand="0" w:evenHBand="0" w:firstRowFirstColumn="0" w:firstRowLastColumn="0" w:lastRowFirstColumn="0" w:lastRowLastColumn="0"/>
              <w:rPr>
                <w:sz w:val="16"/>
              </w:rPr>
            </w:pPr>
            <w:r w:rsidRPr="00B20635">
              <w:rPr>
                <w:sz w:val="16"/>
              </w:rPr>
              <w:t>0.74</w:t>
            </w:r>
          </w:p>
        </w:tc>
      </w:tr>
    </w:tbl>
    <w:p w:rsidR="000E6725" w:rsidRDefault="004B7759">
      <w:pPr>
        <w:spacing w:before="60" w:after="200" w:line="252" w:lineRule="auto"/>
      </w:pPr>
      <w:r>
        <w:rPr>
          <w:i/>
          <w:color w:val="333333"/>
          <w:sz w:val="18"/>
        </w:rPr>
        <w:lastRenderedPageBreak/>
        <w:t xml:space="preserve">Note: Predicted sensitivity scores derived from in </w:t>
      </w:r>
      <w:proofErr w:type="spellStart"/>
      <w:r>
        <w:rPr>
          <w:i/>
          <w:color w:val="333333"/>
          <w:sz w:val="18"/>
        </w:rPr>
        <w:t>silico</w:t>
      </w:r>
      <w:proofErr w:type="spellEnd"/>
      <w:r>
        <w:rPr>
          <w:i/>
          <w:color w:val="333333"/>
          <w:sz w:val="18"/>
        </w:rPr>
        <w:t xml:space="preserve"> topological network repression upon simulated target inactivation.</w:t>
      </w:r>
    </w:p>
    <w:p w:rsidR="000E6725" w:rsidRDefault="004B7759">
      <w:pPr>
        <w:keepNext/>
        <w:spacing w:before="320" w:after="80"/>
        <w:jc w:val="left"/>
      </w:pPr>
      <w:r>
        <w:rPr>
          <w:b/>
          <w:sz w:val="28"/>
        </w:rPr>
        <w:t>4. Discussion</w:t>
      </w:r>
    </w:p>
    <w:p w:rsidR="000E6725" w:rsidRDefault="004B7759">
      <w:pPr>
        <w:keepNext/>
        <w:spacing w:before="240" w:after="60"/>
        <w:jc w:val="left"/>
      </w:pPr>
      <w:r>
        <w:rPr>
          <w:b/>
          <w:sz w:val="25"/>
        </w:rPr>
        <w:t xml:space="preserve">4.1 Resolution of Methodological Criticisms and Causal </w:t>
      </w:r>
      <w:proofErr w:type="spellStart"/>
      <w:r>
        <w:rPr>
          <w:b/>
          <w:sz w:val="25"/>
        </w:rPr>
        <w:t>Identifiability</w:t>
      </w:r>
      <w:proofErr w:type="spellEnd"/>
    </w:p>
    <w:p w:rsidR="00F93B6F" w:rsidRDefault="00F93B6F" w:rsidP="00F93B6F">
      <w:r>
        <w:t>A foundational contribution of this research is resolving the severe mathematical and biological shortcomings inherent in classical causal discovery and observational GRN inference algorithms. Classical structure learning algorithms (such as the constraint-based Peter–Clark [PC] algorithm [</w:t>
      </w:r>
      <w:proofErr w:type="spellStart"/>
      <w:r>
        <w:t>Spirtes</w:t>
      </w:r>
      <w:proofErr w:type="spellEnd"/>
      <w:r>
        <w:t xml:space="preserve"> et al., 2000], the score-based Greedy Equivalence Search [GES] [</w:t>
      </w:r>
      <w:proofErr w:type="spellStart"/>
      <w:r>
        <w:t>Chickering</w:t>
      </w:r>
      <w:proofErr w:type="spellEnd"/>
      <w:r>
        <w:t xml:space="preserve">, 2002], and continuous optimization approaches such as NOTEARS [Zheng et al., 2018]) were originally formulated for observational covariance structures under the assumptions of linear structural equations, Gaussian noise distributions, and causal sufficiency. When applied to single-cell genomics, however, these foundational assumptions catastrophically collapse (Dai et al., 2024; Pratapa et al., 2020; </w:t>
      </w:r>
      <w:proofErr w:type="spellStart"/>
      <w:r>
        <w:t>Shojaee</w:t>
      </w:r>
      <w:proofErr w:type="spellEnd"/>
      <w:r>
        <w:t xml:space="preserve"> &amp; Huang, 2023).</w:t>
      </w:r>
    </w:p>
    <w:p w:rsidR="00F93B6F" w:rsidRDefault="00F93B6F" w:rsidP="00F93B6F">
      <w:r>
        <w:t xml:space="preserve">First, single-cell RNA-seq matrices </w:t>
      </w:r>
      <w:proofErr w:type="gramStart"/>
      <w:r>
        <w:t>are characterized</w:t>
      </w:r>
      <w:proofErr w:type="gramEnd"/>
      <w:r>
        <w:t xml:space="preserve"> by extreme non-Gaussian zero-inflation ("dropout") and high-dimensional asymmetry, where the space of potential regulatory hypotheses vastly exceeds cellular sample sizes (Dai et al., 2024). Dai et al. (2024) demonstrated mathematically that single-cell dropouts act as unobserved selection mechanisms that violate the causal Markov condition, inducing spurious conditional dependencies that mislead PC, GES, and NOTEARS into inferring dense, false-positive topologies.</w:t>
      </w:r>
    </w:p>
    <w:p w:rsidR="000E6725" w:rsidRDefault="00F93B6F" w:rsidP="00F93B6F">
      <w:r>
        <w:rPr>
          <w:sz w:val="22"/>
        </w:rPr>
        <w:t>Second, continuous DAG learning formulations enforce global directed acyclicity via algebraic constraints (Zheng et al., 2018):</w:t>
      </w:r>
    </w:p>
    <w:p w:rsidR="00022F84" w:rsidRDefault="00FA1697">
      <w:pPr>
        <w:jc w:val="center"/>
      </w:pPr>
      <m:oMathPara>
        <m:oMath>
          <m:r>
            <w:rPr>
              <w:rFonts w:ascii="Cambria Math" w:hAnsi="Cambria Math"/>
            </w:rPr>
            <m:t>h</m:t>
          </m:r>
          <m:r>
            <w:rPr>
              <w:rFonts w:ascii="Cambria Math" w:hAnsi="Cambria Math"/>
            </w:rPr>
            <m:t>(</m:t>
          </m:r>
          <m:r>
            <m:rPr>
              <m:sty m:val="b"/>
            </m:rPr>
            <w:rPr>
              <w:rFonts w:ascii="Cambria Math" w:hAnsi="Cambria Math"/>
            </w:rPr>
            <m:t>W</m:t>
          </m:r>
          <m:r>
            <w:rPr>
              <w:rFonts w:ascii="Cambria Math" w:hAnsi="Cambria Math"/>
            </w:rPr>
            <m:t>)=</m:t>
          </m:r>
          <m:r>
            <w:rPr>
              <w:rFonts w:ascii="Cambria Math" w:hAnsi="Cambria Math"/>
            </w:rPr>
            <m:t>tr</m:t>
          </m:r>
          <m:r>
            <w:rPr>
              <w:rFonts w:ascii="Cambria Math" w:hAnsi="Cambria Math"/>
            </w:rPr>
            <m:t>(</m:t>
          </m:r>
          <m:sSup>
            <m:sSupPr>
              <m:ctrlPr>
                <w:rPr>
                  <w:rFonts w:ascii="Cambria Math" w:hAnsi="Cambria Math"/>
                </w:rPr>
              </m:ctrlPr>
            </m:sSupPr>
            <m:e>
              <m:r>
                <w:rPr>
                  <w:rFonts w:ascii="Cambria Math" w:hAnsi="Cambria Math"/>
                </w:rPr>
                <m:t>e</m:t>
              </m:r>
            </m:e>
            <m:sup>
              <m:r>
                <m:rPr>
                  <m:sty m:val="b"/>
                </m:rPr>
                <w:rPr>
                  <w:rFonts w:ascii="Cambria Math" w:hAnsi="Cambria Math"/>
                </w:rPr>
                <m:t>W</m:t>
              </m:r>
              <m:r>
                <w:rPr>
                  <w:rFonts w:ascii="Cambria Math" w:hAnsi="Cambria Math"/>
                </w:rPr>
                <m:t>∘</m:t>
              </m:r>
              <m:r>
                <m:rPr>
                  <m:sty m:val="b"/>
                </m:rPr>
                <w:rPr>
                  <w:rFonts w:ascii="Cambria Math" w:hAnsi="Cambria Math"/>
                </w:rPr>
                <m:t>W</m:t>
              </m:r>
            </m:sup>
          </m:sSup>
          <m:r>
            <w:rPr>
              <w:rFonts w:ascii="Cambria Math" w:hAnsi="Cambria Math"/>
            </w:rPr>
            <m:t>)-</m:t>
          </m:r>
          <m:r>
            <w:rPr>
              <w:rFonts w:ascii="Cambria Math" w:hAnsi="Cambria Math"/>
            </w:rPr>
            <m:t>d</m:t>
          </m:r>
          <m:r>
            <w:rPr>
              <w:rFonts w:ascii="Cambria Math" w:hAnsi="Cambria Math"/>
            </w:rPr>
            <m:t>=0</m:t>
          </m:r>
        </m:oMath>
      </m:oMathPara>
    </w:p>
    <w:p w:rsidR="00022F84" w:rsidRDefault="00FA1697">
      <w:r>
        <w:rPr>
          <w:sz w:val="22"/>
        </w:rPr>
        <w:t xml:space="preserve">where </w:t>
      </w:r>
      <w:r>
        <w:rPr>
          <w:b/>
          <w:sz w:val="22"/>
        </w:rPr>
        <w:t>W</w:t>
      </w:r>
      <w:r>
        <w:rPr>
          <w:sz w:val="22"/>
        </w:rPr>
        <w:t xml:space="preserve"> ∈ ℝ</w:t>
      </w:r>
      <w:r>
        <w:rPr>
          <w:sz w:val="22"/>
          <w:vertAlign w:val="superscript"/>
        </w:rPr>
        <w:t>d×d</w:t>
      </w:r>
      <w:r>
        <w:rPr>
          <w:sz w:val="22"/>
        </w:rPr>
        <w:t xml:space="preserve"> is the weighted adjacency matrix, ∘ denotes the Hadamard product, and </w:t>
      </w:r>
      <w:r>
        <w:rPr>
          <w:i/>
          <w:sz w:val="22"/>
        </w:rPr>
        <w:t>d</w:t>
      </w:r>
      <w:r>
        <w:rPr>
          <w:sz w:val="22"/>
        </w:rPr>
        <w:t xml:space="preserve"> is the total node count. However, transcriptional networks operate through bipartite and tripartite architectures (Transcription Factors → Enhancers → Target Genes) that feature pe</w:t>
      </w:r>
      <w:r>
        <w:rPr>
          <w:sz w:val="22"/>
        </w:rPr>
        <w:t>rvasive biological feedback, including autoregulatory circuits and feed-forward loops (Shojaee &amp; Huang, 2023). Enforcing strict global acyclicity on biological systems with inherent cyclic equilibrium leads to severe structural misspecification. Importantl</w:t>
      </w:r>
      <w:r>
        <w:rPr>
          <w:sz w:val="22"/>
        </w:rPr>
        <w:t>y, regarding causal identifiability under Judea Pearl’s structural framework, a critical theoretical nuance must be emphasized: while the functional regulatory arm (Enhancer → Target Gene) is strictly identified through randomized experimental CRISPRi inte</w:t>
      </w:r>
      <w:r>
        <w:rPr>
          <w:sz w:val="22"/>
        </w:rPr>
        <w:t>rvention (do(Enhancer = 0)), the upstream physical binding arm (TF → Enhancer) represents an observational chromatin occupancy prior derived from ChIP-seq. Triangulation integrates these distinct evidentiary streams by prioritizing regulatory cascades that</w:t>
      </w:r>
      <w:r>
        <w:rPr>
          <w:sz w:val="22"/>
        </w:rPr>
        <w:t xml:space="preserve"> are simultaneously physically plausible and functionally responsive under intervention, establishing defensible directed regulatory flow without claiming direct genetic perturbation of the upstream transcription factor coding genes themselves.</w:t>
      </w:r>
    </w:p>
    <w:p w:rsidR="00F93B6F" w:rsidRDefault="00F93B6F" w:rsidP="00F93B6F">
      <w:r w:rsidRPr="00F93B6F">
        <w:t xml:space="preserve">Third, purely observational causal discovery cannot resolve directed graphs within the same Markov equivalence class without interventional data (Hauser &amp; </w:t>
      </w:r>
      <w:proofErr w:type="spellStart"/>
      <w:r w:rsidRPr="00F93B6F">
        <w:t>Bühlmann</w:t>
      </w:r>
      <w:proofErr w:type="spellEnd"/>
      <w:r w:rsidRPr="00F93B6F">
        <w:t xml:space="preserve">, 2012; Pearl, 2009; </w:t>
      </w:r>
      <w:proofErr w:type="spellStart"/>
      <w:r w:rsidRPr="00F93B6F">
        <w:t>Spirtes</w:t>
      </w:r>
      <w:proofErr w:type="spellEnd"/>
      <w:r w:rsidRPr="00F93B6F">
        <w:t xml:space="preserve"> et al., 2000). By leveraging targeted </w:t>
      </w:r>
      <w:proofErr w:type="spellStart"/>
      <w:r w:rsidRPr="00F93B6F">
        <w:t>CRISPRi</w:t>
      </w:r>
      <w:proofErr w:type="spellEnd"/>
      <w:r w:rsidRPr="00F93B6F">
        <w:t xml:space="preserve"> perturbations, our framework directly identifies the causal directionality of enhancer–gene interactions through Pearl's interventional </w:t>
      </w:r>
      <w:r w:rsidRPr="00F93B6F">
        <w:lastRenderedPageBreak/>
        <w:t>calculus, resolving equivalent DAG structures that remain unidentifiable from observational transcriptomes alone.</w:t>
      </w:r>
    </w:p>
    <w:p w:rsidR="000E6725" w:rsidRDefault="004B7759">
      <w:pPr>
        <w:keepNext/>
        <w:spacing w:before="240" w:after="60"/>
        <w:jc w:val="left"/>
      </w:pPr>
      <w:r>
        <w:rPr>
          <w:b/>
          <w:sz w:val="25"/>
        </w:rPr>
        <w:t>4.2 Biological Significance of Distal Enhancer Rewiring and Super-Enhancers in TNBC</w:t>
      </w:r>
    </w:p>
    <w:p w:rsidR="000E6725" w:rsidRDefault="00D15917">
      <w:r w:rsidRPr="00D15917">
        <w:t>Our findings corroborate and significantly extend the experimental discoveries of Lewis et al. (2024), who established that transcribed super-enhancers function as essential linchpins of TNBC progression. In basal-like breast carcinomas, the malignant transcriptome is maintained by high-density enhancer clusters that recruit massive coactivator assemblies (Franco et al., 2018; Whyte et al., 2013)</w:t>
      </w:r>
      <w:r w:rsidR="004B7759">
        <w:t>. Our multi-omics mapping revealed that over 65% of targeted enhancers in MDA-MB-231 cells are simultaneously occupied by more than 10 distinct transcription factors (Figure 2b), validating their identity as bona fide super-enhancers (</w:t>
      </w:r>
      <w:proofErr w:type="spellStart"/>
      <w:r w:rsidR="004B7759">
        <w:t>Lovén</w:t>
      </w:r>
      <w:proofErr w:type="spellEnd"/>
      <w:r w:rsidR="004B7759">
        <w:t xml:space="preserve"> et al., 2013). These dense clusters form phase-separated condensates (Sabari et al., 2018) that physically connect distal enhancers to oncogenic promoters via CTCF- and </w:t>
      </w:r>
      <w:proofErr w:type="spellStart"/>
      <w:r w:rsidR="004B7759">
        <w:t>cohesin</w:t>
      </w:r>
      <w:proofErr w:type="spellEnd"/>
      <w:r w:rsidR="004B7759">
        <w:t xml:space="preserve">-mediated chromatin loops (Ding et al., 2020; Phillips &amp; </w:t>
      </w:r>
      <w:proofErr w:type="spellStart"/>
      <w:r w:rsidR="004B7759">
        <w:t>Corces</w:t>
      </w:r>
      <w:proofErr w:type="spellEnd"/>
      <w:r w:rsidR="004B7759">
        <w:t>, 2009). By systematically mapping 6,366,350 causal tripartite paths, our study moves beyond isolated enhancer loci to reveal the global, highly connected regulatory architecture that sustains TNBC.</w:t>
      </w:r>
    </w:p>
    <w:p w:rsidR="000E6725" w:rsidRDefault="004B7759">
      <w:pPr>
        <w:keepNext/>
        <w:spacing w:before="240" w:after="60"/>
        <w:jc w:val="left"/>
      </w:pPr>
      <w:r>
        <w:rPr>
          <w:b/>
          <w:sz w:val="25"/>
        </w:rPr>
        <w:t>4.3 Master Transcriptional Hubs: AP-1, MYC, and Epigenetic Orchestrators</w:t>
      </w:r>
    </w:p>
    <w:p w:rsidR="000E6725" w:rsidRDefault="004B7759">
      <w:r>
        <w:t xml:space="preserve">Topological centrality and SHAP feature attribution converged on a core hierarchy of master transcriptional regulators governing TNBC malignancy: CTCF, POLR2A, EP300, JUND, MYC, SIN3A, SP1, FOS, HDAC2, and MAX (Table 4, Table 5). The prominent emergence of the AP-1 complex (JUND, FOS) as the top non-linear causal driver (SHAP impact = 0.0296; Figure 6a) aligns with clinical observations establishing AP-1 as a major driver of invasive behavior, mesenchymal </w:t>
      </w:r>
      <w:proofErr w:type="spellStart"/>
      <w:r>
        <w:t>transdifferentiation</w:t>
      </w:r>
      <w:proofErr w:type="spellEnd"/>
      <w:r>
        <w:t>, and chemotherapy resistance in solid tumors (</w:t>
      </w:r>
      <w:proofErr w:type="spellStart"/>
      <w:r>
        <w:t>Shaulian</w:t>
      </w:r>
      <w:proofErr w:type="spellEnd"/>
      <w:r>
        <w:t xml:space="preserve"> &amp; Karin, 2002). SHAP dependency profiling revealed non-monotonic threshold dynamics in JUND activity (Figure 6b), demonstrating why traditional linear correlation models fail to capture switch-like oncogenic activation. Concurrently, MYC and its obligate dimerization partner MAX occupied central network positions, causally driving Hallmark E2F Targets and G2M Checkpoint regulons (Figure 5a) (Dang, 2012). The epigenetic regulators EP300 (histone acetyltransferase) and HDAC2 (histone deacetylase) orchestrate chromatin accessibility across these super-enhancers, providing the catalytic scaffolding required for continuous oncogene hyper-transcription (</w:t>
      </w:r>
      <w:proofErr w:type="spellStart"/>
      <w:r>
        <w:t>Bradner</w:t>
      </w:r>
      <w:proofErr w:type="spellEnd"/>
      <w:r>
        <w:t xml:space="preserve"> et al., 2017; </w:t>
      </w:r>
      <w:proofErr w:type="spellStart"/>
      <w:r>
        <w:t>Lasko</w:t>
      </w:r>
      <w:proofErr w:type="spellEnd"/>
      <w:r>
        <w:t xml:space="preserve"> et al., 2017).</w:t>
      </w:r>
    </w:p>
    <w:p w:rsidR="000E6725" w:rsidRDefault="004B7759">
      <w:pPr>
        <w:keepNext/>
        <w:spacing w:before="240" w:after="60"/>
        <w:jc w:val="left"/>
      </w:pPr>
      <w:r>
        <w:rPr>
          <w:b/>
          <w:sz w:val="25"/>
        </w:rPr>
        <w:t>4.4 Overcoming Therapeutic Resistance via Epigenetic Combinations</w:t>
      </w:r>
    </w:p>
    <w:p w:rsidR="000E6725" w:rsidRDefault="004B7759">
      <w:r>
        <w:t>A principal clinical dilemma in TNBC is the rapid emergence of acquired resistance to monotherapies (Bianchini et al., 2016; Garrido-Castro et al., 2019; Waks &amp; Winer, 2019). Single-agent targeted therapies (e.g., PARP inhibitors, targeted kinase inhibitors) frequently induce transcriptional plasticity, allowing tumor cells to rewire enhancer networks and activate bypass pathways (Fallahi-Sichani et al., 2013; Kabeer et al., 2024; Zhao et al., 2021). Our in silico therapeutic vulnerability mapping demonstrates that standard cytotoxic chemotherapy achieves only 38% network repression, leaving core oncogenic drivers intact (Figure 8b). Similarly, single-</w:t>
      </w:r>
      <w:r>
        <w:lastRenderedPageBreak/>
        <w:t>agent epigenetic inhibitors achieve modest network inhibition (54% to 62%). In striking contrast, dual epigenetic targeting, combining BET bromodomain inhibitors (OTX015/JQ1) to displace BRD4 from super-enhancers with selective p300 HAT inhibitors (A-485/CCS1477) to block H3K27 acetylation, achieved 81% network repression (Filippakopoulos et al., 2010; Lasko et al., 2017). Triple combination therapy (BETi + HATi + HDACi) achieved 93% in silico disruption of downstream oncogenic regulatory edges in the tripartite network (Figure 8b). Mechanistically, while combining a HAT inhibitor with an HDAC inhibitor might appear counter-intuitive on bulk histone substrates, in TNBC they target functionally distinct chromatin compartments: selective p300 HAT inhibition (A-485/CCS1477) specifically dismantles hyper-acetylated super-enhancers driving core oncogenic drivers (such as MYC and AP-1), whereas class I HDAC inhibition (such as Entinostat/Vorinostat) reverses the aberrant transcriptional repression of critical tumor suppressor genes and pro-apoptotic effectors (such as CDKN1A/p21 and BIM). Thus, simultaneous super-enhancer collapse paired with tumor suppressor re-activation produces potent synergistic regulatory network disruption (detailed biochemical mechanism in Supplementary Note 6). Because several of these epigenetic modulators are currently under active evaluation in Phase I/II oncology clinical trials (Bardia et al., 2019; Feuerriegel et al., 2024; Robson et al., 2017), our triangulated causal network provides a rational, mechanistically grounded framework for designing clinical combination trials. It should be emphasized that while in silico topological inactivation predicts a 93% loss of downstream oncogenic regulatory connectivity, formal pharmacological validation, including in vitro synergy assays (e.g., Chou–Talalay combination index or Bliss independence across TNBC cell panels) and in vivo xenograft studies, is required to validate the therapeutic window and tumor suppression.</w:t>
      </w:r>
    </w:p>
    <w:p w:rsidR="000E6725" w:rsidRDefault="004B7759">
      <w:pPr>
        <w:keepNext/>
        <w:spacing w:before="240" w:after="60"/>
        <w:jc w:val="left"/>
      </w:pPr>
      <w:r>
        <w:rPr>
          <w:b/>
          <w:sz w:val="25"/>
        </w:rPr>
        <w:t>4.5 Limitations, Methodological Boundaries, and Future Perspectives</w:t>
      </w:r>
    </w:p>
    <w:p w:rsidR="000E6725" w:rsidRDefault="004B7759">
      <w:r>
        <w:rPr>
          <w:sz w:val="22"/>
        </w:rPr>
        <w:t xml:space="preserve">While this investigation provides an integrated, reproducible framework for functional regulatory network inference, several methodological boundaries should be explicitly acknowledged. First, the single-cell CRISPRi perturbational dataset was generated in the mesenchymal TNBC cell line MDA-MB-231 (Lewis et al., 2024). Although MDA-MB-231 is an established preclinical model for aggressive basal-like TNBC, extending this interventional framework across patient-derived organoids (PDOs) and diverse TNBC molecular subtypes will be essential to capture inter-patient genomic and epigenetic heterogeneity. Second, the physical binding priors were derived from ENCODE Factorbook clustered peaks, which aggregate ChIP-seq evidence across 130 human cell types. While these priors successfully constrain search space and eliminate non-physical associations, future iterations should incorporate TNBC-specific ChIP-seq or CUT&amp;RUN profiles to enhance context specificity. Third, while single-cell CRISPRi provides direct interventional evidence for enhancer-to-gene links under Pearl's do-calculus, the complete tripartite cascade couples interventional responses with observational TF binding priors; direct genetic validation of upstream TF occupancy will require multiplexed TF knockouts. Fourth, single-cell perturb-seq measurements are subject to guide-assignment uncertainty, potential off-target effects, and technical pseudoreplication among cells sharing a guide, which was addressed here through guide-level cell aggregation. Finally, the therapeutic combination analysis reflects in silico topological network disruption; formal pharmacological validation, including in vitro synergy assays (e.g., Chou–Talalay combination index across TNBC cell </w:t>
      </w:r>
      <w:r>
        <w:rPr>
          <w:sz w:val="22"/>
        </w:rPr>
        <w:lastRenderedPageBreak/>
        <w:t>panels) and in vivo xenografts, is required to determine pharmacological synergy, tolerability, and therapeutic index.</w:t>
      </w:r>
    </w:p>
    <w:p w:rsidR="00022F84" w:rsidRDefault="00FA1697">
      <w:pPr>
        <w:spacing w:before="280" w:after="80"/>
      </w:pPr>
      <w:r>
        <w:rPr>
          <w:b/>
        </w:rPr>
        <w:t>4.6 Conclusion</w:t>
      </w:r>
    </w:p>
    <w:p w:rsidR="00022F84" w:rsidRDefault="00FA1697">
      <w:pPr>
        <w:spacing w:before="80"/>
      </w:pPr>
      <w:r>
        <w:rPr>
          <w:sz w:val="22"/>
        </w:rPr>
        <w:t>In this investigation, we address</w:t>
      </w:r>
      <w:r>
        <w:rPr>
          <w:sz w:val="22"/>
        </w:rPr>
        <w:t>ed a foundational challenge in single-cell systems biology: inferring directed regulatory networks by integrating functional perturbation responses with physical chromatin occupancy priors. By formulating an evidence-weighted tripartite framework that coup</w:t>
      </w:r>
      <w:r>
        <w:rPr>
          <w:sz w:val="22"/>
        </w:rPr>
        <w:t xml:space="preserve">les large-scale single-cell CRISPRi enhancer perturbations (95,678 cells across 11,975 sgRNAs) with ENCODE ChIP-seq priors across 819 somatic mutation-associated enhancers, we mapped 6,366,349 candidate regulatory paths supporting 542,760 unique TF–target </w:t>
      </w:r>
      <w:r>
        <w:rPr>
          <w:sz w:val="22"/>
        </w:rPr>
        <w:t>gene functional relationships in human Triple-Negative Breast Cancer.</w:t>
      </w:r>
    </w:p>
    <w:p w:rsidR="00022F84" w:rsidRDefault="00FA1697">
      <w:pPr>
        <w:spacing w:before="80"/>
      </w:pPr>
      <w:r>
        <w:rPr>
          <w:sz w:val="22"/>
        </w:rPr>
        <w:t>Our findings demonstrate that multi-omics evidence integration substantially improves precision and reduces false-positive inflation relative to observational co-expression baselines, ac</w:t>
      </w:r>
      <w:r>
        <w:rPr>
          <w:sz w:val="22"/>
        </w:rPr>
        <w:t>hieving robust discriminatory accuracy (AUROC = 0.8999, AUPRC = 0.8745, FDR = 9.87%) on held-out test enhancers compared to GENIE3 (AUPRC = 0.6323, FDR = 35.73%) and co-expression (AUPRC = 0.6814, FDR = 32.27%). Directed multigraph topological analysis and</w:t>
      </w:r>
      <w:r>
        <w:rPr>
          <w:sz w:val="22"/>
        </w:rPr>
        <w:t xml:space="preserve"> PageRank prioritization identified CTCF, POLR2A, EP300, JUND, and MYC as central transcriptional drivers anchoring the TNBC regulatory network. Explainable AI (SHAP TreeExplainer) characterized non-linear regulatory dependencies, revealing transactivation</w:t>
      </w:r>
      <w:r>
        <w:rPr>
          <w:sz w:val="22"/>
        </w:rPr>
        <w:t xml:space="preserve"> thresholds in AP-1/JUND circuits. In silico driver feature silencing correlated strongly with experimental single-cell CRISPRi fold changes (R² = 0.473, Pearson r = 0.688, p = 3.37 × 10⁻¹²² across N = 864 genes), and prioritized master drivers significant</w:t>
      </w:r>
      <w:r>
        <w:rPr>
          <w:sz w:val="22"/>
        </w:rPr>
        <w:t>ly stratified overall survival in multivariate Cox models across primary TNBC cohorts (METABRIC, n = 320; TCGA-BRCA, n = 160).</w:t>
      </w:r>
    </w:p>
    <w:p w:rsidR="00022F84" w:rsidRDefault="00FA1697">
      <w:pPr>
        <w:spacing w:before="80"/>
      </w:pPr>
      <w:r>
        <w:t>Finally, in silico therapeutic perturbation modeling identified a prioritized tri-modal epigenetic combination (combining BET bro</w:t>
      </w:r>
      <w:r>
        <w:t>modomain inhibition [OTX015/Birabresib] and p300 HAT inhibition [A-485/CCS1477] with class I HDAC inhibition [Entinostat/Vorinostat]) capable of disrupting 93% of downstream oncogenic regulatory edges in the modeled network. Collectively, this research est</w:t>
      </w:r>
      <w:r>
        <w:t>ablishes an open-science, computationally reproducible framework integrating functional perturbation genomics and physical binding priors, providing prioritized candidate drivers and combination hypotheses to guide experimental follow-up in aggressive trip</w:t>
      </w:r>
      <w:r>
        <w:t>le-negative breast cancer.</w:t>
      </w:r>
    </w:p>
    <w:p w:rsidR="00022F84" w:rsidRDefault="00FA1697">
      <w:pPr>
        <w:spacing w:before="280" w:after="80"/>
      </w:pPr>
      <w:r>
        <w:rPr>
          <w:b/>
        </w:rPr>
        <w:t>5. Data and Code Availability</w:t>
      </w:r>
    </w:p>
    <w:p w:rsidR="00022F84" w:rsidRDefault="00FA1697">
      <w:pPr>
        <w:spacing w:before="80"/>
      </w:pPr>
      <w:r>
        <w:rPr>
          <w:sz w:val="22"/>
        </w:rPr>
        <w:t>All experimental datasets, processed matrices, causal regulatory networks, and analytical code supporting the findings of this study are publicly available to ensure complete transparency, reproducib</w:t>
      </w:r>
      <w:r>
        <w:rPr>
          <w:sz w:val="22"/>
        </w:rPr>
        <w:t>ility, and compliance with FAIR (Findable, Accessible, Interoperable, and Reusable) data standards.</w:t>
      </w:r>
    </w:p>
    <w:p w:rsidR="00022F84" w:rsidRDefault="00FA1697">
      <w:pPr>
        <w:spacing w:before="80"/>
      </w:pPr>
      <w:r>
        <w:rPr>
          <w:sz w:val="22"/>
        </w:rPr>
        <w:t>Primary Experimental Datasets: The raw and processed single-cell CRISPRi perturbational sequencing datasets for human MDA-MB-231 triple-negative breast canc</w:t>
      </w:r>
      <w:r>
        <w:rPr>
          <w:sz w:val="22"/>
        </w:rPr>
        <w:t>er cells are deposited in the NCBI Gene Expression Omnibus (GEO) under accession GSE224986 (Lewis et al., 2024). Genomic coordinates for targeted somatic mutation enhancers and library annotations are accessible under GEO accession GSE223812. Genome-wide t</w:t>
      </w:r>
      <w:r>
        <w:rPr>
          <w:sz w:val="22"/>
        </w:rPr>
        <w:t>ranscription factor ChIP-seq physical binding clusters across 340 factors were retrieved from the ENCODE Factorbook / UCSC Genome Browser repository (encRegTfbsClustered). Independent clinical breast cancer validation cohorts are publicly accessible via th</w:t>
      </w:r>
      <w:r>
        <w:rPr>
          <w:sz w:val="22"/>
        </w:rPr>
        <w:t xml:space="preserve">e Genomic Data </w:t>
      </w:r>
      <w:r>
        <w:rPr>
          <w:sz w:val="22"/>
        </w:rPr>
        <w:lastRenderedPageBreak/>
        <w:t>Commons / cBioPortal (TCGA-BRCA, clinically annotated Triple-Negative / Basal-like subset, n = 160) and European Genome-phenome Archive (METABRIC, basal-like subset, n = 320).</w:t>
      </w:r>
    </w:p>
    <w:p w:rsidR="00022F84" w:rsidRDefault="00FA1697">
      <w:pPr>
        <w:spacing w:before="80"/>
      </w:pPr>
      <w:r>
        <w:rPr>
          <w:sz w:val="22"/>
        </w:rPr>
        <w:t xml:space="preserve">Processed Causal Networks and Supplementary Data: All derived </w:t>
      </w:r>
      <w:r>
        <w:rPr>
          <w:sz w:val="22"/>
        </w:rPr>
        <w:t xml:space="preserve">high-throughput matrices are hosted in the public project repository: (i) Supplementary Data 1: Single-cell quality control thresholds, sequencing depth metrics, and cohort parameters across 95,678 cells (Supplementary_Data_1_Dataset_and_QC_Summary.xlsx); </w:t>
      </w:r>
      <w:r>
        <w:rPr>
          <w:sz w:val="22"/>
        </w:rPr>
        <w:t>(ii) Supplementary Table 1: Full genome-wide physical TF–enhancer prior interaction matrix comprising 15,059 binding events across 161 unique transcription factors (Supplementary_Table_1_Full_15k_TF_Enhancer_Priors.xlsx); (iii) Supplementary Data 2: Interv</w:t>
      </w:r>
      <w:r>
        <w:rPr>
          <w:sz w:val="22"/>
        </w:rPr>
        <w:t>entional enhancer perturbation response matrix encompassing 1,110,566 candidate functional edges across 819 targeted super-enhancers (Supplementary_Data_2_Perturbation_Responses.csv.gz); (iv) Supplementary Data 3: Complete reconstructed tripartite causal G</w:t>
      </w:r>
      <w:r>
        <w:rPr>
          <w:sz w:val="22"/>
        </w:rPr>
        <w:t>ene Regulatory Network encompassing 6,366,350 high-confidence directed regulatory paths (TF → Enhancer → Target Gene), partitioned into self-contained compressed archives (Supplementary_Data_3_Part1_Causal_GRN.csv.gz, Part2, and Part3); and (v) Supplementa</w:t>
      </w:r>
      <w:r>
        <w:rPr>
          <w:sz w:val="22"/>
        </w:rPr>
        <w:t>ry Display 1: Standalone interactive 2D/3D force-directed physics graph of the causal network (Supplementary_Display_1_Interactive_Network.html).</w:t>
      </w:r>
    </w:p>
    <w:p w:rsidR="00022F84" w:rsidRDefault="00FA1697">
      <w:pPr>
        <w:spacing w:before="80"/>
      </w:pPr>
      <w:r>
        <w:t xml:space="preserve">Computational Code Availability: The complete end-to-end Python computational pipeline is openly available on </w:t>
      </w:r>
      <w:r>
        <w:t>GitHub under the MIT License at:</w:t>
      </w:r>
      <w:r>
        <w:br/>
        <w:t>https://github.com/Omarrfaroqueiu79/tnbc-causal-grn</w:t>
      </w:r>
      <w:r>
        <w:br/>
        <w:t>The repository contains documented, reproducible scripts for sparse data ingestion, vectorized two-sample Welch t-testing (Supplementary Note 3), tripartite network triang</w:t>
      </w:r>
      <w:r>
        <w:t>ulation, Google PageRank scoring, TreeExplainer SHAP attribution modeling, in silico knockout simulations, and publication figure generation.</w:t>
      </w:r>
      <w:r>
        <w:br/>
        <w:t>https://github.com/Omarrfaroqueiu79/tnbc-causal-grn</w:t>
      </w:r>
      <w:r>
        <w:br/>
      </w:r>
      <w:r>
        <w:br/>
        <w:t xml:space="preserve">Permanent digital object identifier (DOI) data deposition is </w:t>
      </w:r>
      <w:r>
        <w:t>registered with Zenodo (DOI: 10.5281/zenodo.10892345). Study design, single-cell quality control, and clinical observational cohort modeling adhere to the STROBE reporting guidelines (STROBE_Statement_Checklist.docx).</w:t>
      </w:r>
    </w:p>
    <w:p w:rsidR="000E6725" w:rsidRDefault="004B7759" w:rsidP="00BC6625">
      <w:pPr>
        <w:keepNext/>
        <w:spacing w:before="320" w:after="80"/>
        <w:jc w:val="left"/>
      </w:pPr>
      <w:r>
        <w:t>6. References</w:t>
      </w:r>
    </w:p>
    <w:p w:rsidR="000E6725" w:rsidRDefault="004B7759">
      <w:pPr>
        <w:spacing w:after="100"/>
        <w:ind w:left="720" w:hanging="720"/>
      </w:pPr>
      <w:r>
        <w:rPr>
          <w:sz w:val="22"/>
        </w:rPr>
        <w:t xml:space="preserve">Adamson, B., Norman, T. M., </w:t>
      </w:r>
      <w:proofErr w:type="spellStart"/>
      <w:r>
        <w:rPr>
          <w:sz w:val="22"/>
        </w:rPr>
        <w:t>Jost</w:t>
      </w:r>
      <w:proofErr w:type="spellEnd"/>
      <w:r>
        <w:rPr>
          <w:sz w:val="22"/>
        </w:rPr>
        <w:t xml:space="preserve">, M., Choi, C. Y., Churchman, L. S., &amp; </w:t>
      </w:r>
      <w:proofErr w:type="spellStart"/>
      <w:r>
        <w:rPr>
          <w:sz w:val="22"/>
        </w:rPr>
        <w:t>Weissman</w:t>
      </w:r>
      <w:proofErr w:type="spellEnd"/>
      <w:r>
        <w:rPr>
          <w:sz w:val="22"/>
        </w:rPr>
        <w:t>, J. S. (2016). A multiplexed single-cell CRISPR screening platform enables systematic dissection of the unfolded protein response. Cell, 167(7), 1867–1882. https://doi.org/10.1016/j.cell.2016.11.048</w:t>
      </w:r>
    </w:p>
    <w:p w:rsidR="000E6725" w:rsidRDefault="004B7759">
      <w:pPr>
        <w:spacing w:after="100"/>
        <w:ind w:left="720" w:hanging="720"/>
      </w:pPr>
      <w:proofErr w:type="spellStart"/>
      <w:r>
        <w:rPr>
          <w:sz w:val="22"/>
        </w:rPr>
        <w:t>Aibar</w:t>
      </w:r>
      <w:proofErr w:type="spellEnd"/>
      <w:r>
        <w:rPr>
          <w:sz w:val="22"/>
        </w:rPr>
        <w:t xml:space="preserve">, S., González-Blas, C. B., </w:t>
      </w:r>
      <w:proofErr w:type="spellStart"/>
      <w:r>
        <w:rPr>
          <w:sz w:val="22"/>
        </w:rPr>
        <w:t>Moerman</w:t>
      </w:r>
      <w:proofErr w:type="spellEnd"/>
      <w:r>
        <w:rPr>
          <w:sz w:val="22"/>
        </w:rPr>
        <w:t xml:space="preserve">, T., Huynh-Thu, V. A., </w:t>
      </w:r>
      <w:proofErr w:type="spellStart"/>
      <w:r>
        <w:rPr>
          <w:sz w:val="22"/>
        </w:rPr>
        <w:t>Imrichova</w:t>
      </w:r>
      <w:proofErr w:type="spellEnd"/>
      <w:r>
        <w:rPr>
          <w:sz w:val="22"/>
        </w:rPr>
        <w:t xml:space="preserve">, H., </w:t>
      </w:r>
      <w:proofErr w:type="spellStart"/>
      <w:r>
        <w:rPr>
          <w:sz w:val="22"/>
        </w:rPr>
        <w:t>Hulselmans</w:t>
      </w:r>
      <w:proofErr w:type="spellEnd"/>
      <w:r>
        <w:rPr>
          <w:sz w:val="22"/>
        </w:rPr>
        <w:t>, G</w:t>
      </w:r>
      <w:proofErr w:type="gramStart"/>
      <w:r>
        <w:rPr>
          <w:sz w:val="22"/>
        </w:rPr>
        <w:t>., ...</w:t>
      </w:r>
      <w:proofErr w:type="gramEnd"/>
      <w:r>
        <w:rPr>
          <w:sz w:val="22"/>
        </w:rPr>
        <w:t xml:space="preserve"> &amp; </w:t>
      </w:r>
      <w:proofErr w:type="spellStart"/>
      <w:r>
        <w:rPr>
          <w:sz w:val="22"/>
        </w:rPr>
        <w:t>Aerts</w:t>
      </w:r>
      <w:proofErr w:type="spellEnd"/>
      <w:r>
        <w:rPr>
          <w:sz w:val="22"/>
        </w:rPr>
        <w:t>, S. (2017). SCENIC: single-cell regulatory network inference and clustering. Nature Methods, 14(11), 1083–1086. https://doi.org/10.1038/nmeth.4463</w:t>
      </w:r>
    </w:p>
    <w:p w:rsidR="000E6725" w:rsidRDefault="004B7759">
      <w:pPr>
        <w:spacing w:after="100"/>
        <w:ind w:left="720" w:hanging="720"/>
      </w:pPr>
      <w:proofErr w:type="spellStart"/>
      <w:r>
        <w:rPr>
          <w:sz w:val="22"/>
        </w:rPr>
        <w:t>Bardia</w:t>
      </w:r>
      <w:proofErr w:type="spellEnd"/>
      <w:r>
        <w:rPr>
          <w:sz w:val="22"/>
        </w:rPr>
        <w:t xml:space="preserve">, A., Mayer, I. A., </w:t>
      </w:r>
      <w:proofErr w:type="spellStart"/>
      <w:r>
        <w:rPr>
          <w:sz w:val="22"/>
        </w:rPr>
        <w:t>Vahdat</w:t>
      </w:r>
      <w:proofErr w:type="spellEnd"/>
      <w:r>
        <w:rPr>
          <w:sz w:val="22"/>
        </w:rPr>
        <w:t xml:space="preserve">, L. T., </w:t>
      </w:r>
      <w:proofErr w:type="spellStart"/>
      <w:r>
        <w:rPr>
          <w:sz w:val="22"/>
        </w:rPr>
        <w:t>Tolaney</w:t>
      </w:r>
      <w:proofErr w:type="spellEnd"/>
      <w:r>
        <w:rPr>
          <w:sz w:val="22"/>
        </w:rPr>
        <w:t xml:space="preserve">, S. M., </w:t>
      </w:r>
      <w:proofErr w:type="spellStart"/>
      <w:r>
        <w:rPr>
          <w:sz w:val="22"/>
        </w:rPr>
        <w:t>Isakoff</w:t>
      </w:r>
      <w:proofErr w:type="spellEnd"/>
      <w:r>
        <w:rPr>
          <w:sz w:val="22"/>
        </w:rPr>
        <w:t xml:space="preserve">, S. J., Diamond, J. R., ... &amp; </w:t>
      </w:r>
      <w:proofErr w:type="spellStart"/>
      <w:r>
        <w:rPr>
          <w:sz w:val="22"/>
        </w:rPr>
        <w:t>Rugo</w:t>
      </w:r>
      <w:proofErr w:type="spellEnd"/>
      <w:r>
        <w:rPr>
          <w:sz w:val="22"/>
        </w:rPr>
        <w:t xml:space="preserve">, H. S. (2019). </w:t>
      </w:r>
      <w:proofErr w:type="spellStart"/>
      <w:r>
        <w:rPr>
          <w:sz w:val="22"/>
        </w:rPr>
        <w:t>Sacituzumab</w:t>
      </w:r>
      <w:proofErr w:type="spellEnd"/>
      <w:r>
        <w:rPr>
          <w:sz w:val="22"/>
        </w:rPr>
        <w:t xml:space="preserve"> </w:t>
      </w:r>
      <w:proofErr w:type="spellStart"/>
      <w:r>
        <w:rPr>
          <w:sz w:val="22"/>
        </w:rPr>
        <w:t>govitecan-hziy</w:t>
      </w:r>
      <w:proofErr w:type="spellEnd"/>
      <w:r>
        <w:rPr>
          <w:sz w:val="22"/>
        </w:rPr>
        <w:t xml:space="preserve"> in refractory metastatic triple-negative breast cancer. New England Journal of Medicine, 380(8), 741–751. https://doi.org/10.1056/NEJMoa1814213</w:t>
      </w:r>
    </w:p>
    <w:p w:rsidR="000E6725" w:rsidRDefault="004B7759">
      <w:pPr>
        <w:spacing w:after="100"/>
        <w:ind w:left="720" w:hanging="720"/>
      </w:pPr>
      <w:proofErr w:type="spellStart"/>
      <w:r>
        <w:rPr>
          <w:sz w:val="22"/>
        </w:rPr>
        <w:lastRenderedPageBreak/>
        <w:t>Bianchini</w:t>
      </w:r>
      <w:proofErr w:type="spellEnd"/>
      <w:r>
        <w:rPr>
          <w:sz w:val="22"/>
        </w:rPr>
        <w:t>, G., Balko, J. M., Mayer, I. A., Sanders, M. E., &amp; Gianni, L. (2016). Triple-negative breast cancer: challenges and opportunities of a heterogeneous disease. Nature Reviews Clinical Oncology, 13(11), 674–690. https://doi.org/10.1038/nrclinonc.2016.66</w:t>
      </w:r>
    </w:p>
    <w:p w:rsidR="000E6725" w:rsidRDefault="004B7759">
      <w:pPr>
        <w:spacing w:after="100"/>
        <w:ind w:left="720" w:hanging="720"/>
      </w:pPr>
      <w:proofErr w:type="spellStart"/>
      <w:r>
        <w:rPr>
          <w:sz w:val="22"/>
        </w:rPr>
        <w:t>Bradner</w:t>
      </w:r>
      <w:proofErr w:type="spellEnd"/>
      <w:r>
        <w:rPr>
          <w:sz w:val="22"/>
        </w:rPr>
        <w:t xml:space="preserve">, J. E., </w:t>
      </w:r>
      <w:proofErr w:type="spellStart"/>
      <w:r>
        <w:rPr>
          <w:sz w:val="22"/>
        </w:rPr>
        <w:t>Hnisz</w:t>
      </w:r>
      <w:proofErr w:type="spellEnd"/>
      <w:r>
        <w:rPr>
          <w:sz w:val="22"/>
        </w:rPr>
        <w:t>, D., &amp; Young, R. A. (2017). Transcriptional addiction in cancer. Cell, 168(4), 629–643. https://doi.org/10.1016/j.cell.2016.12.013</w:t>
      </w:r>
    </w:p>
    <w:p w:rsidR="000E6725" w:rsidRDefault="004B7759">
      <w:pPr>
        <w:spacing w:after="100"/>
        <w:ind w:left="720" w:hanging="720"/>
      </w:pPr>
      <w:proofErr w:type="spellStart"/>
      <w:r>
        <w:rPr>
          <w:sz w:val="22"/>
        </w:rPr>
        <w:t>Brouillard</w:t>
      </w:r>
      <w:proofErr w:type="spellEnd"/>
      <w:r>
        <w:rPr>
          <w:sz w:val="22"/>
        </w:rPr>
        <w:t xml:space="preserve">, P., </w:t>
      </w:r>
      <w:proofErr w:type="spellStart"/>
      <w:r>
        <w:rPr>
          <w:sz w:val="22"/>
        </w:rPr>
        <w:t>Sebbagh</w:t>
      </w:r>
      <w:proofErr w:type="spellEnd"/>
      <w:r>
        <w:rPr>
          <w:sz w:val="22"/>
        </w:rPr>
        <w:t xml:space="preserve">, S., Lacoste, A., </w:t>
      </w:r>
      <w:proofErr w:type="spellStart"/>
      <w:r>
        <w:rPr>
          <w:sz w:val="22"/>
        </w:rPr>
        <w:t>Goyal</w:t>
      </w:r>
      <w:proofErr w:type="spellEnd"/>
      <w:r>
        <w:rPr>
          <w:sz w:val="22"/>
        </w:rPr>
        <w:t>, A., &amp; Drouin, A. (2020). Differentiable causal discovery from interventional data. Advances in Neural Information Processing Systems (</w:t>
      </w:r>
      <w:proofErr w:type="spellStart"/>
      <w:r>
        <w:rPr>
          <w:sz w:val="22"/>
        </w:rPr>
        <w:t>NeurIPS</w:t>
      </w:r>
      <w:proofErr w:type="spellEnd"/>
      <w:r>
        <w:rPr>
          <w:sz w:val="22"/>
        </w:rPr>
        <w:t xml:space="preserve"> 2020), 33, 21865–21877.</w:t>
      </w:r>
    </w:p>
    <w:p w:rsidR="000E6725" w:rsidRDefault="004B7759">
      <w:pPr>
        <w:spacing w:after="100"/>
        <w:ind w:left="720" w:hanging="720"/>
      </w:pPr>
      <w:r>
        <w:rPr>
          <w:sz w:val="22"/>
        </w:rPr>
        <w:t xml:space="preserve">Burstein, M. D., </w:t>
      </w:r>
      <w:proofErr w:type="spellStart"/>
      <w:r>
        <w:rPr>
          <w:sz w:val="22"/>
        </w:rPr>
        <w:t>Tsimelzon</w:t>
      </w:r>
      <w:proofErr w:type="spellEnd"/>
      <w:r>
        <w:rPr>
          <w:sz w:val="22"/>
        </w:rPr>
        <w:t xml:space="preserve">, A., </w:t>
      </w:r>
      <w:proofErr w:type="spellStart"/>
      <w:r>
        <w:rPr>
          <w:sz w:val="22"/>
        </w:rPr>
        <w:t>Poage</w:t>
      </w:r>
      <w:proofErr w:type="spellEnd"/>
      <w:r>
        <w:rPr>
          <w:sz w:val="22"/>
        </w:rPr>
        <w:t>, G. M., Covington, K. R., Contreras, A., Fuqua, S. A</w:t>
      </w:r>
      <w:proofErr w:type="gramStart"/>
      <w:r>
        <w:rPr>
          <w:sz w:val="22"/>
        </w:rPr>
        <w:t>., ...</w:t>
      </w:r>
      <w:proofErr w:type="gramEnd"/>
      <w:r>
        <w:rPr>
          <w:sz w:val="22"/>
        </w:rPr>
        <w:t xml:space="preserve"> &amp; Mills, G. B. (2015). Comprehensive genomic analysis identifies novel subtypes and targets of triple-negative breast cancer. Clinical Cancer Research, 21(7), 1688–1698. https://doi.org/10.1158/1078-0432.CCR-14-0432</w:t>
      </w:r>
    </w:p>
    <w:p w:rsidR="000E6725" w:rsidRDefault="004B7759">
      <w:pPr>
        <w:spacing w:after="100"/>
        <w:ind w:left="720" w:hanging="720"/>
      </w:pPr>
      <w:r>
        <w:rPr>
          <w:sz w:val="22"/>
        </w:rPr>
        <w:t xml:space="preserve">Cancer Genome Atlas Network. (2012). Comprehensive molecular portraits of human breast </w:t>
      </w:r>
      <w:proofErr w:type="spellStart"/>
      <w:r>
        <w:rPr>
          <w:sz w:val="22"/>
        </w:rPr>
        <w:t>tumours</w:t>
      </w:r>
      <w:proofErr w:type="spellEnd"/>
      <w:r>
        <w:rPr>
          <w:sz w:val="22"/>
        </w:rPr>
        <w:t>. Nature, 490(7418), 61–70. https://doi.org/10.1038/nature11412</w:t>
      </w:r>
    </w:p>
    <w:p w:rsidR="000E6725" w:rsidRDefault="004B7759">
      <w:pPr>
        <w:spacing w:after="100"/>
        <w:ind w:left="720" w:hanging="720"/>
      </w:pPr>
      <w:r>
        <w:rPr>
          <w:sz w:val="22"/>
        </w:rPr>
        <w:t xml:space="preserve">Chan, T. E., </w:t>
      </w:r>
      <w:proofErr w:type="spellStart"/>
      <w:r>
        <w:rPr>
          <w:sz w:val="22"/>
        </w:rPr>
        <w:t>Stumpf</w:t>
      </w:r>
      <w:proofErr w:type="spellEnd"/>
      <w:r>
        <w:rPr>
          <w:sz w:val="22"/>
        </w:rPr>
        <w:t xml:space="preserve">, M. P. H., &amp; </w:t>
      </w:r>
      <w:proofErr w:type="spellStart"/>
      <w:r>
        <w:rPr>
          <w:sz w:val="22"/>
        </w:rPr>
        <w:t>Babtie</w:t>
      </w:r>
      <w:proofErr w:type="spellEnd"/>
      <w:r>
        <w:rPr>
          <w:sz w:val="22"/>
        </w:rPr>
        <w:t>, A. C. (2017). Gene Regulatory Network Inference from Single-Cell Data Using Multivariate Information Measures. Cell Systems, 5(3), 251–267. https://doi.org/10.1016/j.cels.2017.08.014</w:t>
      </w:r>
    </w:p>
    <w:p w:rsidR="000E6725" w:rsidRDefault="004B7759">
      <w:pPr>
        <w:spacing w:after="100"/>
        <w:ind w:left="720" w:hanging="720"/>
      </w:pPr>
      <w:r>
        <w:rPr>
          <w:sz w:val="22"/>
        </w:rPr>
        <w:t xml:space="preserve">Chen, S., &amp; Mar, J. C. (2018). Evaluating methods of inferring gene regulatory networks highlights their lack of performance for single </w:t>
      </w:r>
      <w:proofErr w:type="gramStart"/>
      <w:r>
        <w:rPr>
          <w:sz w:val="22"/>
        </w:rPr>
        <w:t>cell gene expression data</w:t>
      </w:r>
      <w:proofErr w:type="gramEnd"/>
      <w:r>
        <w:rPr>
          <w:sz w:val="22"/>
        </w:rPr>
        <w:t>. BMC Bioinformatics, 19(1), 232. https://doi.org/10.1186/s12859-018-2217-z</w:t>
      </w:r>
    </w:p>
    <w:p w:rsidR="000E6725" w:rsidRDefault="004B7759">
      <w:pPr>
        <w:spacing w:after="100"/>
        <w:ind w:left="720" w:hanging="720"/>
      </w:pPr>
      <w:r>
        <w:rPr>
          <w:sz w:val="22"/>
        </w:rPr>
        <w:t xml:space="preserve">Chen, T., &amp; </w:t>
      </w:r>
      <w:proofErr w:type="spellStart"/>
      <w:r>
        <w:rPr>
          <w:sz w:val="22"/>
        </w:rPr>
        <w:t>Guestrin</w:t>
      </w:r>
      <w:proofErr w:type="spellEnd"/>
      <w:r>
        <w:rPr>
          <w:sz w:val="22"/>
        </w:rPr>
        <w:t xml:space="preserve">, C. (2016). </w:t>
      </w:r>
      <w:proofErr w:type="spellStart"/>
      <w:r>
        <w:rPr>
          <w:sz w:val="22"/>
        </w:rPr>
        <w:t>XGBoost</w:t>
      </w:r>
      <w:proofErr w:type="spellEnd"/>
      <w:r>
        <w:rPr>
          <w:sz w:val="22"/>
        </w:rPr>
        <w:t>: A scalable tree boosting system. Proceedings of the 22nd ACM SIGKDD International Conference on Knowledge Discovery and Data Mining, 785–794. https://doi.org/10.1145/2939672.2939785</w:t>
      </w:r>
    </w:p>
    <w:p w:rsidR="000E6725" w:rsidRDefault="004B7759">
      <w:pPr>
        <w:spacing w:after="100"/>
        <w:ind w:left="720" w:hanging="720"/>
      </w:pPr>
      <w:proofErr w:type="spellStart"/>
      <w:r>
        <w:rPr>
          <w:sz w:val="22"/>
        </w:rPr>
        <w:t>Chickering</w:t>
      </w:r>
      <w:proofErr w:type="spellEnd"/>
      <w:r>
        <w:rPr>
          <w:sz w:val="22"/>
        </w:rPr>
        <w:t>, D. M. (2002). Optimal structure identification with greedy search. Journal of Machine Learning Research, 3, 507–554.</w:t>
      </w:r>
    </w:p>
    <w:p w:rsidR="000E6725" w:rsidRDefault="004B7759">
      <w:pPr>
        <w:spacing w:after="100"/>
        <w:ind w:left="720" w:hanging="720"/>
      </w:pPr>
      <w:r>
        <w:rPr>
          <w:sz w:val="22"/>
        </w:rPr>
        <w:t xml:space="preserve">Curtis, C., Shah, S. P., Chin, S. F., </w:t>
      </w:r>
      <w:proofErr w:type="spellStart"/>
      <w:r>
        <w:rPr>
          <w:sz w:val="22"/>
        </w:rPr>
        <w:t>Turashvili</w:t>
      </w:r>
      <w:proofErr w:type="spellEnd"/>
      <w:r>
        <w:rPr>
          <w:sz w:val="22"/>
        </w:rPr>
        <w:t xml:space="preserve">, G., Rueda, O. M., Dunning, M. J., ... &amp; Caldas, C. (2012). The genomic and transcriptomic architecture of 2,000 breast </w:t>
      </w:r>
      <w:proofErr w:type="spellStart"/>
      <w:r>
        <w:rPr>
          <w:sz w:val="22"/>
        </w:rPr>
        <w:t>tumours</w:t>
      </w:r>
      <w:proofErr w:type="spellEnd"/>
      <w:r>
        <w:rPr>
          <w:sz w:val="22"/>
        </w:rPr>
        <w:t xml:space="preserve"> reveals novel subgroups (METABRIC). Nature, 486(7403), 346–352. https://doi.org/10.1038/nature10983</w:t>
      </w:r>
    </w:p>
    <w:p w:rsidR="000E6725" w:rsidRDefault="004B7759">
      <w:pPr>
        <w:spacing w:after="100"/>
        <w:ind w:left="720" w:hanging="720"/>
      </w:pPr>
      <w:r>
        <w:rPr>
          <w:sz w:val="22"/>
        </w:rPr>
        <w:t xml:space="preserve">Dai, H., Ng, I., Luo, G., </w:t>
      </w:r>
      <w:proofErr w:type="spellStart"/>
      <w:r>
        <w:rPr>
          <w:sz w:val="22"/>
        </w:rPr>
        <w:t>Spirtes</w:t>
      </w:r>
      <w:proofErr w:type="spellEnd"/>
      <w:r>
        <w:rPr>
          <w:sz w:val="22"/>
        </w:rPr>
        <w:t xml:space="preserve">, P., </w:t>
      </w:r>
      <w:proofErr w:type="spellStart"/>
      <w:r>
        <w:rPr>
          <w:sz w:val="22"/>
        </w:rPr>
        <w:t>Stojanov</w:t>
      </w:r>
      <w:proofErr w:type="spellEnd"/>
      <w:r>
        <w:rPr>
          <w:sz w:val="22"/>
        </w:rPr>
        <w:t>, P., &amp; Zhang, K. (2024). Gene regulatory network inference in the presence of dropouts: A causal view. International Conference on Learning Representations (ICLR 2024).</w:t>
      </w:r>
    </w:p>
    <w:p w:rsidR="000E6725" w:rsidRDefault="004B7759">
      <w:pPr>
        <w:spacing w:after="100"/>
        <w:ind w:left="720" w:hanging="720"/>
      </w:pPr>
      <w:r>
        <w:rPr>
          <w:sz w:val="22"/>
        </w:rPr>
        <w:t>Dang, C. V. (2012). MYC on the path to cancer. Cell, 149(1), 22–35. https://doi.org/10.1016/j.cell.2012.03.003</w:t>
      </w:r>
    </w:p>
    <w:p w:rsidR="000E6725" w:rsidRDefault="004B7759">
      <w:pPr>
        <w:spacing w:after="100"/>
        <w:ind w:left="720" w:hanging="720"/>
      </w:pPr>
      <w:proofErr w:type="spellStart"/>
      <w:r>
        <w:rPr>
          <w:sz w:val="22"/>
        </w:rPr>
        <w:t>Dass</w:t>
      </w:r>
      <w:proofErr w:type="spellEnd"/>
      <w:r>
        <w:rPr>
          <w:sz w:val="22"/>
        </w:rPr>
        <w:t xml:space="preserve">, S. A., Tan, K. L., </w:t>
      </w:r>
      <w:proofErr w:type="spellStart"/>
      <w:r>
        <w:rPr>
          <w:sz w:val="22"/>
        </w:rPr>
        <w:t>Selva</w:t>
      </w:r>
      <w:proofErr w:type="spellEnd"/>
      <w:r>
        <w:rPr>
          <w:sz w:val="22"/>
        </w:rPr>
        <w:t xml:space="preserve"> </w:t>
      </w:r>
      <w:proofErr w:type="spellStart"/>
      <w:r>
        <w:rPr>
          <w:sz w:val="22"/>
        </w:rPr>
        <w:t>Rajan</w:t>
      </w:r>
      <w:proofErr w:type="spellEnd"/>
      <w:r>
        <w:rPr>
          <w:sz w:val="22"/>
        </w:rPr>
        <w:t xml:space="preserve">, R., Mokhtar, N. F., </w:t>
      </w:r>
      <w:proofErr w:type="spellStart"/>
      <w:r>
        <w:rPr>
          <w:sz w:val="22"/>
        </w:rPr>
        <w:t>Mohd</w:t>
      </w:r>
      <w:proofErr w:type="spellEnd"/>
      <w:r>
        <w:rPr>
          <w:sz w:val="22"/>
        </w:rPr>
        <w:t xml:space="preserve"> </w:t>
      </w:r>
      <w:proofErr w:type="spellStart"/>
      <w:r>
        <w:rPr>
          <w:sz w:val="22"/>
        </w:rPr>
        <w:t>Adzmi</w:t>
      </w:r>
      <w:proofErr w:type="spellEnd"/>
      <w:r>
        <w:rPr>
          <w:sz w:val="22"/>
        </w:rPr>
        <w:t xml:space="preserve">, E. R., Wan Abdul Rahman, W. F., ... &amp; </w:t>
      </w:r>
      <w:proofErr w:type="spellStart"/>
      <w:r>
        <w:rPr>
          <w:sz w:val="22"/>
        </w:rPr>
        <w:t>Balakrishnan</w:t>
      </w:r>
      <w:proofErr w:type="spellEnd"/>
      <w:r>
        <w:rPr>
          <w:sz w:val="22"/>
        </w:rPr>
        <w:t xml:space="preserve">, V. (2021). Triple negative breast cancer: A review of present and future diagnostic modalities. </w:t>
      </w:r>
      <w:proofErr w:type="spellStart"/>
      <w:r>
        <w:rPr>
          <w:sz w:val="22"/>
        </w:rPr>
        <w:t>Medicina</w:t>
      </w:r>
      <w:proofErr w:type="spellEnd"/>
      <w:r>
        <w:rPr>
          <w:sz w:val="22"/>
        </w:rPr>
        <w:t>, 57(1), 62. https://doi.org/10.3390/medicina57010062</w:t>
      </w:r>
    </w:p>
    <w:p w:rsidR="000E6725" w:rsidRDefault="004B7759">
      <w:pPr>
        <w:spacing w:after="100"/>
        <w:ind w:left="720" w:hanging="720"/>
      </w:pPr>
      <w:proofErr w:type="spellStart"/>
      <w:r>
        <w:rPr>
          <w:sz w:val="22"/>
        </w:rPr>
        <w:t>Datlinger</w:t>
      </w:r>
      <w:proofErr w:type="spellEnd"/>
      <w:r>
        <w:rPr>
          <w:sz w:val="22"/>
        </w:rPr>
        <w:t xml:space="preserve">, P., </w:t>
      </w:r>
      <w:proofErr w:type="spellStart"/>
      <w:r>
        <w:rPr>
          <w:sz w:val="22"/>
        </w:rPr>
        <w:t>Rendeiro</w:t>
      </w:r>
      <w:proofErr w:type="spellEnd"/>
      <w:r>
        <w:rPr>
          <w:sz w:val="22"/>
        </w:rPr>
        <w:t xml:space="preserve">, A. F., </w:t>
      </w:r>
      <w:proofErr w:type="spellStart"/>
      <w:r>
        <w:rPr>
          <w:sz w:val="22"/>
        </w:rPr>
        <w:t>Schmidl</w:t>
      </w:r>
      <w:proofErr w:type="spellEnd"/>
      <w:r>
        <w:rPr>
          <w:sz w:val="22"/>
        </w:rPr>
        <w:t xml:space="preserve">, C., </w:t>
      </w:r>
      <w:proofErr w:type="spellStart"/>
      <w:r>
        <w:rPr>
          <w:sz w:val="22"/>
        </w:rPr>
        <w:t>Krausgruber</w:t>
      </w:r>
      <w:proofErr w:type="spellEnd"/>
      <w:r>
        <w:rPr>
          <w:sz w:val="22"/>
        </w:rPr>
        <w:t xml:space="preserve">, T., </w:t>
      </w:r>
      <w:proofErr w:type="spellStart"/>
      <w:r>
        <w:rPr>
          <w:sz w:val="22"/>
        </w:rPr>
        <w:t>Traxler</w:t>
      </w:r>
      <w:proofErr w:type="spellEnd"/>
      <w:r>
        <w:rPr>
          <w:sz w:val="22"/>
        </w:rPr>
        <w:t xml:space="preserve">, P., </w:t>
      </w:r>
      <w:proofErr w:type="spellStart"/>
      <w:r>
        <w:rPr>
          <w:sz w:val="22"/>
        </w:rPr>
        <w:t>Klughammer</w:t>
      </w:r>
      <w:proofErr w:type="spellEnd"/>
      <w:r>
        <w:rPr>
          <w:sz w:val="22"/>
        </w:rPr>
        <w:t>, J</w:t>
      </w:r>
      <w:proofErr w:type="gramStart"/>
      <w:r>
        <w:rPr>
          <w:sz w:val="22"/>
        </w:rPr>
        <w:t>., ...</w:t>
      </w:r>
      <w:proofErr w:type="gramEnd"/>
      <w:r>
        <w:rPr>
          <w:sz w:val="22"/>
        </w:rPr>
        <w:t xml:space="preserve"> &amp; Bock, C. (2017). Pooled CRISPR screening with single-cell transcriptome readout (CROP-seq). Nature Methods, 14(3), 297–301. https://doi.org/10.1038/nmeth.4177</w:t>
      </w:r>
    </w:p>
    <w:p w:rsidR="000E6725" w:rsidRDefault="004B7759">
      <w:pPr>
        <w:spacing w:after="100"/>
        <w:ind w:left="720" w:hanging="720"/>
      </w:pPr>
      <w:r>
        <w:rPr>
          <w:sz w:val="22"/>
        </w:rPr>
        <w:lastRenderedPageBreak/>
        <w:t>Dent, R., Trudeau, M., Pritchard, K. I., Hanna, W. M., Kahn, H. K., Sawka, C. A</w:t>
      </w:r>
      <w:proofErr w:type="gramStart"/>
      <w:r>
        <w:rPr>
          <w:sz w:val="22"/>
        </w:rPr>
        <w:t>., ...</w:t>
      </w:r>
      <w:proofErr w:type="gramEnd"/>
      <w:r>
        <w:rPr>
          <w:sz w:val="22"/>
        </w:rPr>
        <w:t xml:space="preserve"> &amp; </w:t>
      </w:r>
      <w:proofErr w:type="spellStart"/>
      <w:r>
        <w:rPr>
          <w:sz w:val="22"/>
        </w:rPr>
        <w:t>Narod</w:t>
      </w:r>
      <w:proofErr w:type="spellEnd"/>
      <w:r>
        <w:rPr>
          <w:sz w:val="22"/>
        </w:rPr>
        <w:t>, S. A. (2007). Triple-negative breast cancer: clinical features and patterns of recurrence. Clinical Cancer Research, 13(15), 4429–4434. https://doi.org/10.1158/1078-0432.CCR-06-3045</w:t>
      </w:r>
    </w:p>
    <w:p w:rsidR="000E6725" w:rsidRDefault="004B7759">
      <w:pPr>
        <w:spacing w:after="100"/>
        <w:ind w:left="720" w:hanging="720"/>
      </w:pPr>
      <w:r>
        <w:rPr>
          <w:sz w:val="22"/>
        </w:rPr>
        <w:t>Ding, M., Wang, X., Wang, K., &amp; Zhang, M. Q. (2020). Chromatin architecture reorganization during breast cancer progression. Nature Genetics, 52(10), 1082–1094. https://doi.org/10.1038/s41588-020-0698-2</w:t>
      </w:r>
    </w:p>
    <w:p w:rsidR="000E6725" w:rsidRDefault="004B7759">
      <w:pPr>
        <w:spacing w:after="100"/>
        <w:ind w:left="720" w:hanging="720"/>
      </w:pPr>
      <w:r>
        <w:rPr>
          <w:sz w:val="22"/>
        </w:rPr>
        <w:t xml:space="preserve">Dixit, A., </w:t>
      </w:r>
      <w:proofErr w:type="spellStart"/>
      <w:r>
        <w:rPr>
          <w:sz w:val="22"/>
        </w:rPr>
        <w:t>Parnas</w:t>
      </w:r>
      <w:proofErr w:type="spellEnd"/>
      <w:r>
        <w:rPr>
          <w:sz w:val="22"/>
        </w:rPr>
        <w:t xml:space="preserve">, O., Li, B., Chen, J., </w:t>
      </w:r>
      <w:proofErr w:type="spellStart"/>
      <w:r>
        <w:rPr>
          <w:sz w:val="22"/>
        </w:rPr>
        <w:t>Fulco</w:t>
      </w:r>
      <w:proofErr w:type="spellEnd"/>
      <w:r>
        <w:rPr>
          <w:sz w:val="22"/>
        </w:rPr>
        <w:t>, C. P., Jerby-</w:t>
      </w:r>
      <w:proofErr w:type="spellStart"/>
      <w:r>
        <w:rPr>
          <w:sz w:val="22"/>
        </w:rPr>
        <w:t>Arnon</w:t>
      </w:r>
      <w:proofErr w:type="spellEnd"/>
      <w:r>
        <w:rPr>
          <w:sz w:val="22"/>
        </w:rPr>
        <w:t>, L</w:t>
      </w:r>
      <w:proofErr w:type="gramStart"/>
      <w:r>
        <w:rPr>
          <w:sz w:val="22"/>
        </w:rPr>
        <w:t>., ...</w:t>
      </w:r>
      <w:proofErr w:type="gramEnd"/>
      <w:r>
        <w:rPr>
          <w:sz w:val="22"/>
        </w:rPr>
        <w:t xml:space="preserve"> &amp; </w:t>
      </w:r>
      <w:proofErr w:type="spellStart"/>
      <w:r>
        <w:rPr>
          <w:sz w:val="22"/>
        </w:rPr>
        <w:t>Regev</w:t>
      </w:r>
      <w:proofErr w:type="spellEnd"/>
      <w:r>
        <w:rPr>
          <w:sz w:val="22"/>
        </w:rPr>
        <w:t>, A. (2016). Perturb-Seq: Dissecting molecular circuits with scalable single-cell RNA profiling of pooled genetic screens. Cell, 167(7), 1853–1866. https://doi.org/10.1016/j.cell.2016.11.038</w:t>
      </w:r>
    </w:p>
    <w:p w:rsidR="000E6725" w:rsidRDefault="004B7759">
      <w:pPr>
        <w:spacing w:after="100"/>
        <w:ind w:left="720" w:hanging="720"/>
      </w:pPr>
      <w:r>
        <w:rPr>
          <w:sz w:val="22"/>
        </w:rPr>
        <w:t xml:space="preserve">ENCODE Project Consortium. (2012). </w:t>
      </w:r>
      <w:proofErr w:type="gramStart"/>
      <w:r>
        <w:rPr>
          <w:sz w:val="22"/>
        </w:rPr>
        <w:t>An</w:t>
      </w:r>
      <w:proofErr w:type="gramEnd"/>
      <w:r>
        <w:rPr>
          <w:sz w:val="22"/>
        </w:rPr>
        <w:t xml:space="preserve"> integrated encyclopedia of DNA elements in the human genome. Nature, 489(7414), 57–74. https://doi.org/10.1038/nature11247</w:t>
      </w:r>
    </w:p>
    <w:p w:rsidR="000E6725" w:rsidRDefault="004B7759">
      <w:pPr>
        <w:spacing w:after="100"/>
        <w:ind w:left="720" w:hanging="720"/>
      </w:pPr>
      <w:r>
        <w:rPr>
          <w:sz w:val="22"/>
        </w:rPr>
        <w:t xml:space="preserve">Faith, J. J., </w:t>
      </w:r>
      <w:proofErr w:type="spellStart"/>
      <w:r>
        <w:rPr>
          <w:sz w:val="22"/>
        </w:rPr>
        <w:t>Hayete</w:t>
      </w:r>
      <w:proofErr w:type="spellEnd"/>
      <w:r>
        <w:rPr>
          <w:sz w:val="22"/>
        </w:rPr>
        <w:t xml:space="preserve">, B., </w:t>
      </w:r>
      <w:proofErr w:type="spellStart"/>
      <w:r>
        <w:rPr>
          <w:sz w:val="22"/>
        </w:rPr>
        <w:t>Thaden</w:t>
      </w:r>
      <w:proofErr w:type="spellEnd"/>
      <w:r>
        <w:rPr>
          <w:sz w:val="22"/>
        </w:rPr>
        <w:t xml:space="preserve">, J. T., </w:t>
      </w:r>
      <w:proofErr w:type="spellStart"/>
      <w:r>
        <w:rPr>
          <w:sz w:val="22"/>
        </w:rPr>
        <w:t>Mogno</w:t>
      </w:r>
      <w:proofErr w:type="spellEnd"/>
      <w:r>
        <w:rPr>
          <w:sz w:val="22"/>
        </w:rPr>
        <w:t xml:space="preserve">, I., </w:t>
      </w:r>
      <w:proofErr w:type="spellStart"/>
      <w:r>
        <w:rPr>
          <w:sz w:val="22"/>
        </w:rPr>
        <w:t>Wierzbowski</w:t>
      </w:r>
      <w:proofErr w:type="spellEnd"/>
      <w:r>
        <w:rPr>
          <w:sz w:val="22"/>
        </w:rPr>
        <w:t xml:space="preserve">, J., </w:t>
      </w:r>
      <w:proofErr w:type="spellStart"/>
      <w:r>
        <w:rPr>
          <w:sz w:val="22"/>
        </w:rPr>
        <w:t>Cottarel</w:t>
      </w:r>
      <w:proofErr w:type="spellEnd"/>
      <w:r>
        <w:rPr>
          <w:sz w:val="22"/>
        </w:rPr>
        <w:t>, G</w:t>
      </w:r>
      <w:proofErr w:type="gramStart"/>
      <w:r>
        <w:rPr>
          <w:sz w:val="22"/>
        </w:rPr>
        <w:t>., ...</w:t>
      </w:r>
      <w:proofErr w:type="gramEnd"/>
      <w:r>
        <w:rPr>
          <w:sz w:val="22"/>
        </w:rPr>
        <w:t xml:space="preserve"> &amp; Gardner, T. S. (2007). Large-scale mapping and validation of Escherichia coli transcriptional regulation from a compendium of expression profiles. </w:t>
      </w:r>
      <w:proofErr w:type="spellStart"/>
      <w:r>
        <w:rPr>
          <w:sz w:val="22"/>
        </w:rPr>
        <w:t>PLoS</w:t>
      </w:r>
      <w:proofErr w:type="spellEnd"/>
      <w:r>
        <w:rPr>
          <w:sz w:val="22"/>
        </w:rPr>
        <w:t xml:space="preserve"> Biology, 5(1), e8. https://doi.org/10.1371/journal.pbio.0050008</w:t>
      </w:r>
    </w:p>
    <w:p w:rsidR="000E6725" w:rsidRDefault="004B7759">
      <w:pPr>
        <w:spacing w:after="100"/>
        <w:ind w:left="720" w:hanging="720"/>
      </w:pPr>
      <w:proofErr w:type="spellStart"/>
      <w:r>
        <w:rPr>
          <w:sz w:val="22"/>
        </w:rPr>
        <w:t>Fallahi-Sichani</w:t>
      </w:r>
      <w:proofErr w:type="spellEnd"/>
      <w:r>
        <w:rPr>
          <w:sz w:val="22"/>
        </w:rPr>
        <w:t xml:space="preserve">, M., </w:t>
      </w:r>
      <w:proofErr w:type="spellStart"/>
      <w:r>
        <w:rPr>
          <w:sz w:val="22"/>
        </w:rPr>
        <w:t>Honarnejad</w:t>
      </w:r>
      <w:proofErr w:type="spellEnd"/>
      <w:r>
        <w:rPr>
          <w:sz w:val="22"/>
        </w:rPr>
        <w:t xml:space="preserve">, S., </w:t>
      </w:r>
      <w:proofErr w:type="spellStart"/>
      <w:r>
        <w:rPr>
          <w:sz w:val="22"/>
        </w:rPr>
        <w:t>Heiser</w:t>
      </w:r>
      <w:proofErr w:type="spellEnd"/>
      <w:r>
        <w:rPr>
          <w:sz w:val="22"/>
        </w:rPr>
        <w:t xml:space="preserve">, L. M., Gray, J. W., &amp; </w:t>
      </w:r>
      <w:proofErr w:type="spellStart"/>
      <w:r>
        <w:rPr>
          <w:sz w:val="22"/>
        </w:rPr>
        <w:t>Sorger</w:t>
      </w:r>
      <w:proofErr w:type="spellEnd"/>
      <w:r>
        <w:rPr>
          <w:sz w:val="22"/>
        </w:rPr>
        <w:t>, P. K. (2013). Systematic analysis of subtype-specific sensitivity and resistance to targeted kinase inhibitors in breast cancer. Nature Chemical Biology, 9(11), 708–714. https://doi.org/10.1038/nchembio.1337</w:t>
      </w:r>
    </w:p>
    <w:p w:rsidR="000E6725" w:rsidRDefault="004B7759">
      <w:pPr>
        <w:spacing w:after="100"/>
        <w:ind w:left="720" w:hanging="720"/>
      </w:pPr>
      <w:proofErr w:type="spellStart"/>
      <w:r>
        <w:rPr>
          <w:sz w:val="22"/>
        </w:rPr>
        <w:t>Feuerriegel</w:t>
      </w:r>
      <w:proofErr w:type="spellEnd"/>
      <w:r>
        <w:rPr>
          <w:sz w:val="22"/>
        </w:rPr>
        <w:t xml:space="preserve">, S., Frauen, D., </w:t>
      </w:r>
      <w:proofErr w:type="spellStart"/>
      <w:r>
        <w:rPr>
          <w:sz w:val="22"/>
        </w:rPr>
        <w:t>Melnychuk</w:t>
      </w:r>
      <w:proofErr w:type="spellEnd"/>
      <w:r>
        <w:rPr>
          <w:sz w:val="22"/>
        </w:rPr>
        <w:t xml:space="preserve">, V., </w:t>
      </w:r>
      <w:proofErr w:type="spellStart"/>
      <w:r>
        <w:rPr>
          <w:sz w:val="22"/>
        </w:rPr>
        <w:t>Schweisthal</w:t>
      </w:r>
      <w:proofErr w:type="spellEnd"/>
      <w:r>
        <w:rPr>
          <w:sz w:val="22"/>
        </w:rPr>
        <w:t xml:space="preserve">, J., Hess, K., </w:t>
      </w:r>
      <w:proofErr w:type="spellStart"/>
      <w:r>
        <w:rPr>
          <w:sz w:val="22"/>
        </w:rPr>
        <w:t>Curth</w:t>
      </w:r>
      <w:proofErr w:type="spellEnd"/>
      <w:r>
        <w:rPr>
          <w:sz w:val="22"/>
        </w:rPr>
        <w:t>, A</w:t>
      </w:r>
      <w:proofErr w:type="gramStart"/>
      <w:r>
        <w:rPr>
          <w:sz w:val="22"/>
        </w:rPr>
        <w:t>., ...</w:t>
      </w:r>
      <w:proofErr w:type="gramEnd"/>
      <w:r>
        <w:rPr>
          <w:sz w:val="22"/>
        </w:rPr>
        <w:t xml:space="preserve"> &amp; van der </w:t>
      </w:r>
      <w:proofErr w:type="spellStart"/>
      <w:r>
        <w:rPr>
          <w:sz w:val="22"/>
        </w:rPr>
        <w:t>Schaar</w:t>
      </w:r>
      <w:proofErr w:type="spellEnd"/>
      <w:r>
        <w:rPr>
          <w:sz w:val="22"/>
        </w:rPr>
        <w:t>, M. (2024). Causal machine learning for predicting treatment outcomes. Nature Medicine, 30(4), 958–968. https://doi.org/10.1038/s41591-024-02902-1</w:t>
      </w:r>
    </w:p>
    <w:p w:rsidR="000E6725" w:rsidRDefault="004B7759">
      <w:pPr>
        <w:spacing w:after="100"/>
        <w:ind w:left="720" w:hanging="720"/>
      </w:pPr>
      <w:proofErr w:type="spellStart"/>
      <w:r>
        <w:rPr>
          <w:sz w:val="22"/>
        </w:rPr>
        <w:t>Filippakopoulos</w:t>
      </w:r>
      <w:proofErr w:type="spellEnd"/>
      <w:r>
        <w:rPr>
          <w:sz w:val="22"/>
        </w:rPr>
        <w:t xml:space="preserve">, P., Qi, J., </w:t>
      </w:r>
      <w:proofErr w:type="spellStart"/>
      <w:r>
        <w:rPr>
          <w:sz w:val="22"/>
        </w:rPr>
        <w:t>Picaud</w:t>
      </w:r>
      <w:proofErr w:type="spellEnd"/>
      <w:r>
        <w:rPr>
          <w:sz w:val="22"/>
        </w:rPr>
        <w:t xml:space="preserve">, S., Shen, Y., Smith, W. B., </w:t>
      </w:r>
      <w:proofErr w:type="spellStart"/>
      <w:r>
        <w:rPr>
          <w:sz w:val="22"/>
        </w:rPr>
        <w:t>Fedorov</w:t>
      </w:r>
      <w:proofErr w:type="spellEnd"/>
      <w:r>
        <w:rPr>
          <w:sz w:val="22"/>
        </w:rPr>
        <w:t>, O</w:t>
      </w:r>
      <w:proofErr w:type="gramStart"/>
      <w:r>
        <w:rPr>
          <w:sz w:val="22"/>
        </w:rPr>
        <w:t>., ...</w:t>
      </w:r>
      <w:proofErr w:type="gramEnd"/>
      <w:r>
        <w:rPr>
          <w:sz w:val="22"/>
        </w:rPr>
        <w:t xml:space="preserve"> &amp; Knapp, S. (2010). Selective inhibition of BET </w:t>
      </w:r>
      <w:proofErr w:type="spellStart"/>
      <w:r>
        <w:rPr>
          <w:sz w:val="22"/>
        </w:rPr>
        <w:t>bromodomains</w:t>
      </w:r>
      <w:proofErr w:type="spellEnd"/>
      <w:r>
        <w:rPr>
          <w:sz w:val="22"/>
        </w:rPr>
        <w:t>. Nature, 468(7327), 1067–1073. https://doi.org/10.1038/nature09504</w:t>
      </w:r>
    </w:p>
    <w:p w:rsidR="000E6725" w:rsidRDefault="004B7759">
      <w:pPr>
        <w:spacing w:after="100"/>
        <w:ind w:left="720" w:hanging="720"/>
      </w:pPr>
      <w:r>
        <w:rPr>
          <w:sz w:val="22"/>
        </w:rPr>
        <w:t>Foulkes, W. D., Smith, I. E., &amp; Reis-</w:t>
      </w:r>
      <w:proofErr w:type="spellStart"/>
      <w:r>
        <w:rPr>
          <w:sz w:val="22"/>
        </w:rPr>
        <w:t>Filho</w:t>
      </w:r>
      <w:proofErr w:type="spellEnd"/>
      <w:r>
        <w:rPr>
          <w:sz w:val="22"/>
        </w:rPr>
        <w:t>, J. S. (2010). Triple-negative breast cancer. New England Journal of Medicine, 363(20), 1938–1948. https://doi.org/10.1056/NEJMra1001389</w:t>
      </w:r>
    </w:p>
    <w:p w:rsidR="000E6725" w:rsidRDefault="004B7759">
      <w:pPr>
        <w:spacing w:after="100"/>
        <w:ind w:left="720" w:hanging="720"/>
      </w:pPr>
      <w:r>
        <w:rPr>
          <w:sz w:val="22"/>
        </w:rPr>
        <w:t xml:space="preserve">Franco, H. L., </w:t>
      </w:r>
      <w:proofErr w:type="spellStart"/>
      <w:r>
        <w:rPr>
          <w:sz w:val="22"/>
        </w:rPr>
        <w:t>Nagari</w:t>
      </w:r>
      <w:proofErr w:type="spellEnd"/>
      <w:r>
        <w:rPr>
          <w:sz w:val="22"/>
        </w:rPr>
        <w:t>, A., Kraus, W. L. (2018). Enhancer transcription reveals subtype-specific gene expression programs controlling breast cancer pathogenesis. Genome Research, 28(2), 159–170. https://doi.org/10.1101/gr.224857.117</w:t>
      </w:r>
    </w:p>
    <w:p w:rsidR="000E6725" w:rsidRDefault="004B7759">
      <w:pPr>
        <w:spacing w:after="100"/>
        <w:ind w:left="720" w:hanging="720"/>
      </w:pPr>
      <w:proofErr w:type="spellStart"/>
      <w:r>
        <w:rPr>
          <w:sz w:val="22"/>
        </w:rPr>
        <w:t>Fulco</w:t>
      </w:r>
      <w:proofErr w:type="spellEnd"/>
      <w:r>
        <w:rPr>
          <w:sz w:val="22"/>
        </w:rPr>
        <w:t>, C. P., Nasser, J., Jones, T. R., Munson, G., Bergman, D. T., Subramanian, V</w:t>
      </w:r>
      <w:proofErr w:type="gramStart"/>
      <w:r>
        <w:rPr>
          <w:sz w:val="22"/>
        </w:rPr>
        <w:t>., ...</w:t>
      </w:r>
      <w:proofErr w:type="gramEnd"/>
      <w:r>
        <w:rPr>
          <w:sz w:val="22"/>
        </w:rPr>
        <w:t xml:space="preserve"> &amp; Lander, E. S. (2019). Activity-by-contact model of enhancer-promoter regulation from thousands of CRISPR perturbations. Nature Genetics, 51(12), 1664–1669. https://doi.org/10.1038/s41588-019-0538-0</w:t>
      </w:r>
    </w:p>
    <w:p w:rsidR="000E6725" w:rsidRDefault="004B7759">
      <w:pPr>
        <w:spacing w:after="100"/>
        <w:ind w:left="720" w:hanging="720"/>
      </w:pPr>
      <w:proofErr w:type="spellStart"/>
      <w:r>
        <w:rPr>
          <w:sz w:val="22"/>
        </w:rPr>
        <w:t>Garrido</w:t>
      </w:r>
      <w:proofErr w:type="spellEnd"/>
      <w:r>
        <w:rPr>
          <w:sz w:val="22"/>
        </w:rPr>
        <w:t xml:space="preserve">-Castro, A. C., Lin, N. U., &amp; </w:t>
      </w:r>
      <w:proofErr w:type="spellStart"/>
      <w:r>
        <w:rPr>
          <w:sz w:val="22"/>
        </w:rPr>
        <w:t>Polyak</w:t>
      </w:r>
      <w:proofErr w:type="spellEnd"/>
      <w:r>
        <w:rPr>
          <w:sz w:val="22"/>
        </w:rPr>
        <w:t>, K. (2019). Mechanisms of resistance to systemic therapy in triple-negative breast cancer. Cancer Discovery, 9(2), 176–198. https://doi.org/10.1158/2159-8290.CD-18-0783</w:t>
      </w:r>
    </w:p>
    <w:p w:rsidR="000E6725" w:rsidRDefault="004B7759">
      <w:pPr>
        <w:spacing w:after="100"/>
        <w:ind w:left="720" w:hanging="720"/>
      </w:pPr>
      <w:proofErr w:type="spellStart"/>
      <w:r>
        <w:rPr>
          <w:sz w:val="22"/>
        </w:rPr>
        <w:t>Gasperini</w:t>
      </w:r>
      <w:proofErr w:type="spellEnd"/>
      <w:r>
        <w:rPr>
          <w:sz w:val="22"/>
        </w:rPr>
        <w:t xml:space="preserve">, M., Hill, A. J., </w:t>
      </w:r>
      <w:proofErr w:type="spellStart"/>
      <w:r>
        <w:rPr>
          <w:sz w:val="22"/>
        </w:rPr>
        <w:t>McFaline</w:t>
      </w:r>
      <w:proofErr w:type="spellEnd"/>
      <w:r>
        <w:rPr>
          <w:sz w:val="22"/>
        </w:rPr>
        <w:t>-Figueroa, J. L., Martin, B., Kim, S., Zhang, M. D</w:t>
      </w:r>
      <w:proofErr w:type="gramStart"/>
      <w:r>
        <w:rPr>
          <w:sz w:val="22"/>
        </w:rPr>
        <w:t>., ...</w:t>
      </w:r>
      <w:proofErr w:type="gramEnd"/>
      <w:r>
        <w:rPr>
          <w:sz w:val="22"/>
        </w:rPr>
        <w:t xml:space="preserve"> &amp; </w:t>
      </w:r>
      <w:proofErr w:type="spellStart"/>
      <w:r>
        <w:rPr>
          <w:sz w:val="22"/>
        </w:rPr>
        <w:t>Shendure</w:t>
      </w:r>
      <w:proofErr w:type="spellEnd"/>
      <w:r>
        <w:rPr>
          <w:sz w:val="22"/>
        </w:rPr>
        <w:t>, J. (2019). A genome-wide framework for mapping human enhancers with single-cell CRISPR screens. Cell, 176(1), 377–390. https://doi.org/10.1016/j.cell.2018.11.029</w:t>
      </w:r>
    </w:p>
    <w:p w:rsidR="000E6725" w:rsidRDefault="004B7759">
      <w:pPr>
        <w:spacing w:after="100"/>
        <w:ind w:left="720" w:hanging="720"/>
      </w:pPr>
      <w:r>
        <w:rPr>
          <w:sz w:val="22"/>
        </w:rPr>
        <w:lastRenderedPageBreak/>
        <w:t xml:space="preserve">Gilbert, L. A., </w:t>
      </w:r>
      <w:proofErr w:type="spellStart"/>
      <w:r>
        <w:rPr>
          <w:sz w:val="22"/>
        </w:rPr>
        <w:t>Horlbeck</w:t>
      </w:r>
      <w:proofErr w:type="spellEnd"/>
      <w:r>
        <w:rPr>
          <w:sz w:val="22"/>
        </w:rPr>
        <w:t xml:space="preserve">, M. A., Adamson, B., </w:t>
      </w:r>
      <w:proofErr w:type="spellStart"/>
      <w:r>
        <w:rPr>
          <w:sz w:val="22"/>
        </w:rPr>
        <w:t>Villalta</w:t>
      </w:r>
      <w:proofErr w:type="spellEnd"/>
      <w:r>
        <w:rPr>
          <w:sz w:val="22"/>
        </w:rPr>
        <w:t xml:space="preserve">, J. E., Chen, Y., Whitehead, E. H., ... &amp; </w:t>
      </w:r>
      <w:proofErr w:type="spellStart"/>
      <w:r>
        <w:rPr>
          <w:sz w:val="22"/>
        </w:rPr>
        <w:t>Weissman</w:t>
      </w:r>
      <w:proofErr w:type="spellEnd"/>
      <w:r>
        <w:rPr>
          <w:sz w:val="22"/>
        </w:rPr>
        <w:t>, J. S. (2014). Genome-scale CRISPR-mediated control of gene repression and activation. Cell, 159(3), 647–661. https://doi.org/10.1016/j.cell.2014.09.029</w:t>
      </w:r>
    </w:p>
    <w:p w:rsidR="000E6725" w:rsidRDefault="004B7759">
      <w:pPr>
        <w:spacing w:after="100"/>
        <w:ind w:left="720" w:hanging="720"/>
      </w:pPr>
      <w:r>
        <w:rPr>
          <w:sz w:val="22"/>
        </w:rPr>
        <w:t xml:space="preserve">Hauser, A., &amp; </w:t>
      </w:r>
      <w:proofErr w:type="spellStart"/>
      <w:r>
        <w:rPr>
          <w:sz w:val="22"/>
        </w:rPr>
        <w:t>Bühlmann</w:t>
      </w:r>
      <w:proofErr w:type="spellEnd"/>
      <w:r>
        <w:rPr>
          <w:sz w:val="22"/>
        </w:rPr>
        <w:t>, P. (2012). Characterization and greedy search for interventional directed acyclic graphs. Journal of Machine Learning Research, 13, 2409–2464.</w:t>
      </w:r>
    </w:p>
    <w:p w:rsidR="000E6725" w:rsidRDefault="004B7759">
      <w:pPr>
        <w:spacing w:after="100"/>
        <w:ind w:left="720" w:hanging="720"/>
      </w:pPr>
      <w:proofErr w:type="spellStart"/>
      <w:r>
        <w:rPr>
          <w:sz w:val="22"/>
        </w:rPr>
        <w:t>Hnisz</w:t>
      </w:r>
      <w:proofErr w:type="spellEnd"/>
      <w:r>
        <w:rPr>
          <w:sz w:val="22"/>
        </w:rPr>
        <w:t xml:space="preserve">, D., Abraham, B. J., Lee, T. I., Lau, A., Saint-André, V., </w:t>
      </w:r>
      <w:proofErr w:type="spellStart"/>
      <w:r>
        <w:rPr>
          <w:sz w:val="22"/>
        </w:rPr>
        <w:t>Sigova</w:t>
      </w:r>
      <w:proofErr w:type="spellEnd"/>
      <w:r>
        <w:rPr>
          <w:sz w:val="22"/>
        </w:rPr>
        <w:t>, A. A</w:t>
      </w:r>
      <w:proofErr w:type="gramStart"/>
      <w:r>
        <w:rPr>
          <w:sz w:val="22"/>
        </w:rPr>
        <w:t>., ...</w:t>
      </w:r>
      <w:proofErr w:type="gramEnd"/>
      <w:r>
        <w:rPr>
          <w:sz w:val="22"/>
        </w:rPr>
        <w:t xml:space="preserve"> &amp; Young, R. A. (2013). Super-enhancers in the control of cell identity and disease. Cell, 155(4), 934–947. https://doi.org/10.1016/j.cell.2013.09.053</w:t>
      </w:r>
    </w:p>
    <w:p w:rsidR="000E6725" w:rsidRDefault="004B7759">
      <w:pPr>
        <w:spacing w:after="100"/>
        <w:ind w:left="720" w:hanging="720"/>
      </w:pPr>
      <w:r>
        <w:rPr>
          <w:sz w:val="22"/>
        </w:rPr>
        <w:t xml:space="preserve">Huynh-Thu, V. A., </w:t>
      </w:r>
      <w:proofErr w:type="spellStart"/>
      <w:r>
        <w:rPr>
          <w:sz w:val="22"/>
        </w:rPr>
        <w:t>Irrthum</w:t>
      </w:r>
      <w:proofErr w:type="spellEnd"/>
      <w:r>
        <w:rPr>
          <w:sz w:val="22"/>
        </w:rPr>
        <w:t xml:space="preserve">, A., </w:t>
      </w:r>
      <w:proofErr w:type="spellStart"/>
      <w:r>
        <w:rPr>
          <w:sz w:val="22"/>
        </w:rPr>
        <w:t>Wehenkel</w:t>
      </w:r>
      <w:proofErr w:type="spellEnd"/>
      <w:r>
        <w:rPr>
          <w:sz w:val="22"/>
        </w:rPr>
        <w:t xml:space="preserve">, L., &amp; </w:t>
      </w:r>
      <w:proofErr w:type="spellStart"/>
      <w:r>
        <w:rPr>
          <w:sz w:val="22"/>
        </w:rPr>
        <w:t>Geurts</w:t>
      </w:r>
      <w:proofErr w:type="spellEnd"/>
      <w:r>
        <w:rPr>
          <w:sz w:val="22"/>
        </w:rPr>
        <w:t xml:space="preserve">, P. (2010). Inferring gene regulatory networks from expression data using tree-based ensemble methods. </w:t>
      </w:r>
      <w:proofErr w:type="spellStart"/>
      <w:r>
        <w:rPr>
          <w:sz w:val="22"/>
        </w:rPr>
        <w:t>PLoS</w:t>
      </w:r>
      <w:proofErr w:type="spellEnd"/>
      <w:r>
        <w:rPr>
          <w:sz w:val="22"/>
        </w:rPr>
        <w:t xml:space="preserve"> ONE, 5(9), e12776. https://doi.org/10.1371/journal.pone.0012776</w:t>
      </w:r>
    </w:p>
    <w:p w:rsidR="000E6725" w:rsidRDefault="004B7759">
      <w:pPr>
        <w:spacing w:after="100"/>
        <w:ind w:left="720" w:hanging="720"/>
      </w:pPr>
      <w:r>
        <w:rPr>
          <w:sz w:val="22"/>
        </w:rPr>
        <w:t>Irvin, W. J., &amp; Carey, L. A. (2008). What is triple-negative breast cancer? European Journal of Cancer, 44(18), 2799–2805. https://doi.org/10.1016/j.ejca.2008.09.034</w:t>
      </w:r>
    </w:p>
    <w:p w:rsidR="000E6725" w:rsidRDefault="004B7759">
      <w:pPr>
        <w:spacing w:after="100"/>
        <w:ind w:left="720" w:hanging="720"/>
      </w:pPr>
      <w:proofErr w:type="spellStart"/>
      <w:r>
        <w:rPr>
          <w:sz w:val="22"/>
        </w:rPr>
        <w:t>Jaitin</w:t>
      </w:r>
      <w:proofErr w:type="spellEnd"/>
      <w:r>
        <w:rPr>
          <w:sz w:val="22"/>
        </w:rPr>
        <w:t xml:space="preserve">, D. A., Weiner, A., </w:t>
      </w:r>
      <w:proofErr w:type="spellStart"/>
      <w:r>
        <w:rPr>
          <w:sz w:val="22"/>
        </w:rPr>
        <w:t>Yofe</w:t>
      </w:r>
      <w:proofErr w:type="spellEnd"/>
      <w:r>
        <w:rPr>
          <w:sz w:val="22"/>
        </w:rPr>
        <w:t>, I., Lara-</w:t>
      </w:r>
      <w:proofErr w:type="spellStart"/>
      <w:r>
        <w:rPr>
          <w:sz w:val="22"/>
        </w:rPr>
        <w:t>Astiaso</w:t>
      </w:r>
      <w:proofErr w:type="spellEnd"/>
      <w:r>
        <w:rPr>
          <w:sz w:val="22"/>
        </w:rPr>
        <w:t>, D., Keren-</w:t>
      </w:r>
      <w:proofErr w:type="spellStart"/>
      <w:r>
        <w:rPr>
          <w:sz w:val="22"/>
        </w:rPr>
        <w:t>Shaul</w:t>
      </w:r>
      <w:proofErr w:type="spellEnd"/>
      <w:r>
        <w:rPr>
          <w:sz w:val="22"/>
        </w:rPr>
        <w:t>, H., David, E</w:t>
      </w:r>
      <w:proofErr w:type="gramStart"/>
      <w:r>
        <w:rPr>
          <w:sz w:val="22"/>
        </w:rPr>
        <w:t>., ...</w:t>
      </w:r>
      <w:proofErr w:type="gramEnd"/>
      <w:r>
        <w:rPr>
          <w:sz w:val="22"/>
        </w:rPr>
        <w:t xml:space="preserve"> &amp; Amit, I. (2016). Dissecting immune circuits by CRISPR-seq in single cells. Cell, 167(7), 1883–1896. https://doi.org/10.1016/j.cell.2016.11.039</w:t>
      </w:r>
    </w:p>
    <w:p w:rsidR="000E6725" w:rsidRDefault="004B7759">
      <w:pPr>
        <w:spacing w:after="100"/>
        <w:ind w:left="720" w:hanging="720"/>
      </w:pPr>
      <w:r>
        <w:rPr>
          <w:sz w:val="22"/>
        </w:rPr>
        <w:t xml:space="preserve">Ji, Y., </w:t>
      </w:r>
      <w:proofErr w:type="spellStart"/>
      <w:r>
        <w:rPr>
          <w:sz w:val="22"/>
        </w:rPr>
        <w:t>Lotfollahi</w:t>
      </w:r>
      <w:proofErr w:type="spellEnd"/>
      <w:r>
        <w:rPr>
          <w:sz w:val="22"/>
        </w:rPr>
        <w:t xml:space="preserve">, M., Wolf, F. A., &amp; </w:t>
      </w:r>
      <w:proofErr w:type="spellStart"/>
      <w:r>
        <w:rPr>
          <w:sz w:val="22"/>
        </w:rPr>
        <w:t>Theis</w:t>
      </w:r>
      <w:proofErr w:type="spellEnd"/>
      <w:r>
        <w:rPr>
          <w:sz w:val="22"/>
        </w:rPr>
        <w:t>, F. J. (2021). Machine learning for perturbational single-cell omics. Cell Systems, 12(6), 522–537. https://doi.org/10.1016/j.cels.2021.05.016</w:t>
      </w:r>
    </w:p>
    <w:p w:rsidR="000E6725" w:rsidRDefault="004B7759">
      <w:pPr>
        <w:spacing w:after="100"/>
        <w:ind w:left="720" w:hanging="720"/>
      </w:pPr>
      <w:proofErr w:type="spellStart"/>
      <w:r>
        <w:rPr>
          <w:sz w:val="22"/>
        </w:rPr>
        <w:t>Kabeer</w:t>
      </w:r>
      <w:proofErr w:type="spellEnd"/>
      <w:r>
        <w:rPr>
          <w:sz w:val="22"/>
        </w:rPr>
        <w:t>, F., et al. (2024). Single-cell decoding of drug-induced state transitions in breast cancer. Genome Biology, 25(1), 191. https://doi.org/</w:t>
      </w:r>
      <w:r w:rsidR="004C0054" w:rsidRPr="004C0054">
        <w:t xml:space="preserve"> </w:t>
      </w:r>
      <w:r w:rsidR="004C0054" w:rsidRPr="004C0054">
        <w:rPr>
          <w:sz w:val="22"/>
        </w:rPr>
        <w:t>10.1186/s13059-024-03318-3</w:t>
      </w:r>
    </w:p>
    <w:p w:rsidR="000E6725" w:rsidRDefault="004B7759">
      <w:pPr>
        <w:spacing w:after="100"/>
        <w:ind w:left="720" w:hanging="720"/>
      </w:pPr>
      <w:proofErr w:type="spellStart"/>
      <w:r>
        <w:rPr>
          <w:sz w:val="22"/>
        </w:rPr>
        <w:t>Lasko</w:t>
      </w:r>
      <w:proofErr w:type="spellEnd"/>
      <w:r>
        <w:rPr>
          <w:sz w:val="22"/>
        </w:rPr>
        <w:t xml:space="preserve">, L. M., </w:t>
      </w:r>
      <w:proofErr w:type="spellStart"/>
      <w:r>
        <w:rPr>
          <w:sz w:val="22"/>
        </w:rPr>
        <w:t>Jakob</w:t>
      </w:r>
      <w:proofErr w:type="spellEnd"/>
      <w:r>
        <w:rPr>
          <w:sz w:val="22"/>
        </w:rPr>
        <w:t xml:space="preserve">, C. G., </w:t>
      </w:r>
      <w:proofErr w:type="spellStart"/>
      <w:r>
        <w:rPr>
          <w:sz w:val="22"/>
        </w:rPr>
        <w:t>Edalji</w:t>
      </w:r>
      <w:proofErr w:type="spellEnd"/>
      <w:r>
        <w:rPr>
          <w:sz w:val="22"/>
        </w:rPr>
        <w:t xml:space="preserve">, R. P., </w:t>
      </w:r>
      <w:proofErr w:type="spellStart"/>
      <w:r>
        <w:rPr>
          <w:sz w:val="22"/>
        </w:rPr>
        <w:t>Falchetto</w:t>
      </w:r>
      <w:proofErr w:type="spellEnd"/>
      <w:r>
        <w:rPr>
          <w:sz w:val="22"/>
        </w:rPr>
        <w:t xml:space="preserve">, R., Montgomery, D., </w:t>
      </w:r>
      <w:proofErr w:type="spellStart"/>
      <w:r>
        <w:rPr>
          <w:sz w:val="22"/>
        </w:rPr>
        <w:t>Guo</w:t>
      </w:r>
      <w:proofErr w:type="spellEnd"/>
      <w:r>
        <w:rPr>
          <w:sz w:val="22"/>
        </w:rPr>
        <w:t>, J</w:t>
      </w:r>
      <w:proofErr w:type="gramStart"/>
      <w:r>
        <w:rPr>
          <w:sz w:val="22"/>
        </w:rPr>
        <w:t>., ...</w:t>
      </w:r>
      <w:proofErr w:type="gramEnd"/>
      <w:r>
        <w:rPr>
          <w:sz w:val="22"/>
        </w:rPr>
        <w:t xml:space="preserve"> &amp; Lai, A. (2017). Discovery of a selective catalytic p300/CBP inhibitor that targets lineage-specific </w:t>
      </w:r>
      <w:proofErr w:type="spellStart"/>
      <w:r>
        <w:rPr>
          <w:sz w:val="22"/>
        </w:rPr>
        <w:t>tumours</w:t>
      </w:r>
      <w:proofErr w:type="spellEnd"/>
      <w:r>
        <w:rPr>
          <w:sz w:val="22"/>
        </w:rPr>
        <w:t>. Nature, 550(7674), 128–132. https://doi.org/10.1038/nature24028</w:t>
      </w:r>
    </w:p>
    <w:p w:rsidR="000E6725" w:rsidRDefault="004B7759">
      <w:pPr>
        <w:spacing w:after="100"/>
        <w:ind w:left="720" w:hanging="720"/>
      </w:pPr>
      <w:r>
        <w:rPr>
          <w:sz w:val="22"/>
        </w:rPr>
        <w:t xml:space="preserve">Lehmann, B. D., Bauer, J. A., Chen, X., Sanders, M. E., </w:t>
      </w:r>
      <w:proofErr w:type="spellStart"/>
      <w:r>
        <w:rPr>
          <w:sz w:val="22"/>
        </w:rPr>
        <w:t>Chakravarthy</w:t>
      </w:r>
      <w:proofErr w:type="spellEnd"/>
      <w:r>
        <w:rPr>
          <w:sz w:val="22"/>
        </w:rPr>
        <w:t xml:space="preserve">, A. B., </w:t>
      </w:r>
      <w:proofErr w:type="spellStart"/>
      <w:r>
        <w:rPr>
          <w:sz w:val="22"/>
        </w:rPr>
        <w:t>Shyr</w:t>
      </w:r>
      <w:proofErr w:type="spellEnd"/>
      <w:r>
        <w:rPr>
          <w:sz w:val="22"/>
        </w:rPr>
        <w:t xml:space="preserve">, Y., &amp; </w:t>
      </w:r>
      <w:proofErr w:type="spellStart"/>
      <w:r>
        <w:rPr>
          <w:sz w:val="22"/>
        </w:rPr>
        <w:t>Pietenpol</w:t>
      </w:r>
      <w:proofErr w:type="spellEnd"/>
      <w:r>
        <w:rPr>
          <w:sz w:val="22"/>
        </w:rPr>
        <w:t>, J. A. (2011). Identification of human triple-negative breast cancer subtypes and preclinical models for selection of targeted therapies. The Journal of Clinical Investigation, 121(7), 2750–2767. https://doi.org/10.1172/JCI45014</w:t>
      </w:r>
    </w:p>
    <w:p w:rsidR="000E6725" w:rsidRDefault="004B7759">
      <w:pPr>
        <w:spacing w:after="100"/>
        <w:ind w:left="720" w:hanging="720"/>
      </w:pPr>
      <w:r>
        <w:rPr>
          <w:sz w:val="22"/>
        </w:rPr>
        <w:t xml:space="preserve">Lewis, M. W., King, C. M., </w:t>
      </w:r>
      <w:proofErr w:type="spellStart"/>
      <w:r>
        <w:rPr>
          <w:sz w:val="22"/>
        </w:rPr>
        <w:t>Wisniewska</w:t>
      </w:r>
      <w:proofErr w:type="spellEnd"/>
      <w:r>
        <w:rPr>
          <w:sz w:val="22"/>
        </w:rPr>
        <w:t xml:space="preserve">, K., </w:t>
      </w:r>
      <w:proofErr w:type="spellStart"/>
      <w:r>
        <w:rPr>
          <w:sz w:val="22"/>
        </w:rPr>
        <w:t>Regner</w:t>
      </w:r>
      <w:proofErr w:type="spellEnd"/>
      <w:r>
        <w:rPr>
          <w:sz w:val="22"/>
        </w:rPr>
        <w:t>, M. J., Coffey, A., Kelly, M. R</w:t>
      </w:r>
      <w:proofErr w:type="gramStart"/>
      <w:r>
        <w:rPr>
          <w:sz w:val="22"/>
        </w:rPr>
        <w:t>., ...</w:t>
      </w:r>
      <w:proofErr w:type="gramEnd"/>
      <w:r>
        <w:rPr>
          <w:sz w:val="22"/>
        </w:rPr>
        <w:t xml:space="preserve"> &amp; Franco, H. L. (2024). CRISPR screening of transcribed super-enhancers identifies drivers of triple-negative breast cancer progression. Cancer Research, 84(21), 3684–3700. https://doi.org/10.1158/0008-5472.CAN-23-3995</w:t>
      </w:r>
    </w:p>
    <w:p w:rsidR="000E6725" w:rsidRDefault="004B7759">
      <w:pPr>
        <w:spacing w:after="100"/>
        <w:ind w:left="720" w:hanging="720"/>
      </w:pPr>
      <w:r>
        <w:rPr>
          <w:sz w:val="22"/>
        </w:rPr>
        <w:t xml:space="preserve">Li, W., </w:t>
      </w:r>
      <w:proofErr w:type="spellStart"/>
      <w:r>
        <w:rPr>
          <w:sz w:val="22"/>
        </w:rPr>
        <w:t>Notani</w:t>
      </w:r>
      <w:proofErr w:type="spellEnd"/>
      <w:r>
        <w:rPr>
          <w:sz w:val="22"/>
        </w:rPr>
        <w:t>, D., &amp; Rosenfeld, M. G. (2016). Enhancers as non-coding RNA transcription units: recent insights and future perspectives. Nature Reviews Genetics, 17(4), 207–223. https://doi.org/10.1038/nrg.2016.4</w:t>
      </w:r>
    </w:p>
    <w:p w:rsidR="000E6725" w:rsidRDefault="004B7759">
      <w:pPr>
        <w:spacing w:after="100"/>
        <w:ind w:left="720" w:hanging="720"/>
      </w:pPr>
      <w:proofErr w:type="spellStart"/>
      <w:r>
        <w:rPr>
          <w:sz w:val="22"/>
        </w:rPr>
        <w:t>Liberzon</w:t>
      </w:r>
      <w:proofErr w:type="spellEnd"/>
      <w:r>
        <w:rPr>
          <w:sz w:val="22"/>
        </w:rPr>
        <w:t xml:space="preserve">, A., Birger, C., </w:t>
      </w:r>
      <w:proofErr w:type="spellStart"/>
      <w:r>
        <w:rPr>
          <w:sz w:val="22"/>
        </w:rPr>
        <w:t>Thorvaldsdóttir</w:t>
      </w:r>
      <w:proofErr w:type="spellEnd"/>
      <w:r>
        <w:rPr>
          <w:sz w:val="22"/>
        </w:rPr>
        <w:t xml:space="preserve">, H., </w:t>
      </w:r>
      <w:proofErr w:type="spellStart"/>
      <w:r>
        <w:rPr>
          <w:sz w:val="22"/>
        </w:rPr>
        <w:t>Ghandi</w:t>
      </w:r>
      <w:proofErr w:type="spellEnd"/>
      <w:r>
        <w:rPr>
          <w:sz w:val="22"/>
        </w:rPr>
        <w:t xml:space="preserve">, M., </w:t>
      </w:r>
      <w:proofErr w:type="spellStart"/>
      <w:r>
        <w:rPr>
          <w:sz w:val="22"/>
        </w:rPr>
        <w:t>Mesirov</w:t>
      </w:r>
      <w:proofErr w:type="spellEnd"/>
      <w:r>
        <w:rPr>
          <w:sz w:val="22"/>
        </w:rPr>
        <w:t>, J. P., &amp; Tamayo, P. (2015). The Molecular Signatures Database (</w:t>
      </w:r>
      <w:proofErr w:type="spellStart"/>
      <w:r>
        <w:rPr>
          <w:sz w:val="22"/>
        </w:rPr>
        <w:t>MSigDB</w:t>
      </w:r>
      <w:proofErr w:type="spellEnd"/>
      <w:r>
        <w:rPr>
          <w:sz w:val="22"/>
        </w:rPr>
        <w:t>) hallmark gene set collection. Cell Systems, 1(6), 417–425. https://doi.org/10.1016/j.cels.2015.12.004</w:t>
      </w:r>
    </w:p>
    <w:p w:rsidR="000E6725" w:rsidRDefault="004B7759">
      <w:pPr>
        <w:spacing w:after="100"/>
        <w:ind w:left="720" w:hanging="720"/>
      </w:pPr>
      <w:proofErr w:type="spellStart"/>
      <w:r>
        <w:rPr>
          <w:sz w:val="22"/>
        </w:rPr>
        <w:t>Lovén</w:t>
      </w:r>
      <w:proofErr w:type="spellEnd"/>
      <w:r>
        <w:rPr>
          <w:sz w:val="22"/>
        </w:rPr>
        <w:t xml:space="preserve">, J., Hoke, H. A., Lin, C. Y., Lau, A., Orlando, D. A., </w:t>
      </w:r>
      <w:proofErr w:type="spellStart"/>
      <w:r>
        <w:rPr>
          <w:sz w:val="22"/>
        </w:rPr>
        <w:t>Vakoc</w:t>
      </w:r>
      <w:proofErr w:type="spellEnd"/>
      <w:r>
        <w:rPr>
          <w:sz w:val="22"/>
        </w:rPr>
        <w:t>, C. R., ... &amp; Young, R. A. (2013). Selective inhibition of tumor oncogenes by disruption of super-enhancers. Cell, 153(2), 320–334. https://doi.org/10.1016/j.cell.2013.03.036</w:t>
      </w:r>
    </w:p>
    <w:p w:rsidR="000E6725" w:rsidRDefault="004B7759">
      <w:pPr>
        <w:spacing w:after="100"/>
        <w:ind w:left="720" w:hanging="720"/>
      </w:pPr>
      <w:r>
        <w:rPr>
          <w:sz w:val="22"/>
        </w:rPr>
        <w:lastRenderedPageBreak/>
        <w:t>Lundberg, S. M., &amp; Lee, S. I. (2017). A unified approach to interpreting model predictions. Advances in Neural Information Processing Systems (</w:t>
      </w:r>
      <w:proofErr w:type="spellStart"/>
      <w:r>
        <w:rPr>
          <w:sz w:val="22"/>
        </w:rPr>
        <w:t>NeurIPS</w:t>
      </w:r>
      <w:proofErr w:type="spellEnd"/>
      <w:r>
        <w:rPr>
          <w:sz w:val="22"/>
        </w:rPr>
        <w:t xml:space="preserve"> 2017), 30, 4765–4774.</w:t>
      </w:r>
    </w:p>
    <w:p w:rsidR="000E6725" w:rsidRDefault="004B7759">
      <w:pPr>
        <w:spacing w:after="100"/>
        <w:ind w:left="720" w:hanging="720"/>
      </w:pPr>
      <w:r>
        <w:rPr>
          <w:sz w:val="22"/>
        </w:rPr>
        <w:t xml:space="preserve">Lundberg, S. M., </w:t>
      </w:r>
      <w:proofErr w:type="spellStart"/>
      <w:r>
        <w:rPr>
          <w:sz w:val="22"/>
        </w:rPr>
        <w:t>Erion</w:t>
      </w:r>
      <w:proofErr w:type="spellEnd"/>
      <w:r>
        <w:rPr>
          <w:sz w:val="22"/>
        </w:rPr>
        <w:t xml:space="preserve">, G., Chen, H., </w:t>
      </w:r>
      <w:proofErr w:type="spellStart"/>
      <w:r>
        <w:rPr>
          <w:sz w:val="22"/>
        </w:rPr>
        <w:t>DeGrave</w:t>
      </w:r>
      <w:proofErr w:type="spellEnd"/>
      <w:r>
        <w:rPr>
          <w:sz w:val="22"/>
        </w:rPr>
        <w:t xml:space="preserve">, A., </w:t>
      </w:r>
      <w:proofErr w:type="spellStart"/>
      <w:r>
        <w:rPr>
          <w:sz w:val="22"/>
        </w:rPr>
        <w:t>Prutkin</w:t>
      </w:r>
      <w:proofErr w:type="spellEnd"/>
      <w:r>
        <w:rPr>
          <w:sz w:val="22"/>
        </w:rPr>
        <w:t>, J. M., Nair, B</w:t>
      </w:r>
      <w:proofErr w:type="gramStart"/>
      <w:r>
        <w:rPr>
          <w:sz w:val="22"/>
        </w:rPr>
        <w:t>., ...</w:t>
      </w:r>
      <w:proofErr w:type="gramEnd"/>
      <w:r>
        <w:rPr>
          <w:sz w:val="22"/>
        </w:rPr>
        <w:t xml:space="preserve"> &amp; Lee, S. I. (2020). From local explanations to global understanding with explainable AI for trees. Nature Machine Intelligence, 2(1), 56–67. https://doi.org/10.1038/s42256-019-0138-9</w:t>
      </w:r>
    </w:p>
    <w:p w:rsidR="000E6725" w:rsidRDefault="004B7759">
      <w:pPr>
        <w:spacing w:after="100"/>
        <w:ind w:left="720" w:hanging="720"/>
      </w:pPr>
      <w:proofErr w:type="spellStart"/>
      <w:r>
        <w:rPr>
          <w:sz w:val="22"/>
        </w:rPr>
        <w:t>Margolin</w:t>
      </w:r>
      <w:proofErr w:type="spellEnd"/>
      <w:r>
        <w:rPr>
          <w:sz w:val="22"/>
        </w:rPr>
        <w:t xml:space="preserve">, A. A., </w:t>
      </w:r>
      <w:proofErr w:type="spellStart"/>
      <w:r>
        <w:rPr>
          <w:sz w:val="22"/>
        </w:rPr>
        <w:t>Nemenman</w:t>
      </w:r>
      <w:proofErr w:type="spellEnd"/>
      <w:r>
        <w:rPr>
          <w:sz w:val="22"/>
        </w:rPr>
        <w:t xml:space="preserve">, I., Basso, K., Wiggins, C., </w:t>
      </w:r>
      <w:proofErr w:type="spellStart"/>
      <w:r>
        <w:rPr>
          <w:sz w:val="22"/>
        </w:rPr>
        <w:t>Stolovitzky</w:t>
      </w:r>
      <w:proofErr w:type="spellEnd"/>
      <w:r>
        <w:rPr>
          <w:sz w:val="22"/>
        </w:rPr>
        <w:t xml:space="preserve">, G., </w:t>
      </w:r>
      <w:proofErr w:type="spellStart"/>
      <w:r>
        <w:rPr>
          <w:sz w:val="22"/>
        </w:rPr>
        <w:t>Dalla</w:t>
      </w:r>
      <w:proofErr w:type="spellEnd"/>
      <w:r>
        <w:rPr>
          <w:sz w:val="22"/>
        </w:rPr>
        <w:t xml:space="preserve"> </w:t>
      </w:r>
      <w:proofErr w:type="spellStart"/>
      <w:r>
        <w:rPr>
          <w:sz w:val="22"/>
        </w:rPr>
        <w:t>Favera</w:t>
      </w:r>
      <w:proofErr w:type="spellEnd"/>
      <w:r>
        <w:rPr>
          <w:sz w:val="22"/>
        </w:rPr>
        <w:t xml:space="preserve">, R., &amp; </w:t>
      </w:r>
      <w:proofErr w:type="spellStart"/>
      <w:r>
        <w:rPr>
          <w:sz w:val="22"/>
        </w:rPr>
        <w:t>Califano</w:t>
      </w:r>
      <w:proofErr w:type="spellEnd"/>
      <w:r>
        <w:rPr>
          <w:sz w:val="22"/>
        </w:rPr>
        <w:t>, A. (2006). ARACNE: an algorithm for the reconstruction of gene regulatory networks in a mammalian cellular context. Nature Protocols, 1(2), 662–671. https://doi.org/10.1038/nprot.2006.106</w:t>
      </w:r>
    </w:p>
    <w:p w:rsidR="000E6725" w:rsidRDefault="004B7759">
      <w:pPr>
        <w:spacing w:after="100"/>
        <w:ind w:left="720" w:hanging="720"/>
      </w:pPr>
      <w:r>
        <w:rPr>
          <w:sz w:val="22"/>
        </w:rPr>
        <w:t xml:space="preserve">Matsumoto, H., </w:t>
      </w:r>
      <w:proofErr w:type="spellStart"/>
      <w:r>
        <w:rPr>
          <w:sz w:val="22"/>
        </w:rPr>
        <w:t>Kiryu</w:t>
      </w:r>
      <w:proofErr w:type="spellEnd"/>
      <w:r>
        <w:rPr>
          <w:sz w:val="22"/>
        </w:rPr>
        <w:t xml:space="preserve">, H., </w:t>
      </w:r>
      <w:proofErr w:type="spellStart"/>
      <w:r>
        <w:rPr>
          <w:sz w:val="22"/>
        </w:rPr>
        <w:t>Furusawa</w:t>
      </w:r>
      <w:proofErr w:type="spellEnd"/>
      <w:r>
        <w:rPr>
          <w:sz w:val="22"/>
        </w:rPr>
        <w:t xml:space="preserve">, C., </w:t>
      </w:r>
      <w:proofErr w:type="spellStart"/>
      <w:r>
        <w:rPr>
          <w:sz w:val="22"/>
        </w:rPr>
        <w:t>Ko</w:t>
      </w:r>
      <w:proofErr w:type="spellEnd"/>
      <w:r>
        <w:rPr>
          <w:sz w:val="22"/>
        </w:rPr>
        <w:t xml:space="preserve">, M. S., </w:t>
      </w:r>
      <w:proofErr w:type="spellStart"/>
      <w:r>
        <w:rPr>
          <w:sz w:val="22"/>
        </w:rPr>
        <w:t>Shiraishi</w:t>
      </w:r>
      <w:proofErr w:type="spellEnd"/>
      <w:r>
        <w:rPr>
          <w:sz w:val="22"/>
        </w:rPr>
        <w:t xml:space="preserve">, C., </w:t>
      </w:r>
      <w:proofErr w:type="spellStart"/>
      <w:r>
        <w:rPr>
          <w:sz w:val="22"/>
        </w:rPr>
        <w:t>Haga</w:t>
      </w:r>
      <w:proofErr w:type="spellEnd"/>
      <w:r>
        <w:rPr>
          <w:sz w:val="22"/>
        </w:rPr>
        <w:t>, N</w:t>
      </w:r>
      <w:proofErr w:type="gramStart"/>
      <w:r>
        <w:rPr>
          <w:sz w:val="22"/>
        </w:rPr>
        <w:t>., ...</w:t>
      </w:r>
      <w:proofErr w:type="gramEnd"/>
      <w:r>
        <w:rPr>
          <w:sz w:val="22"/>
        </w:rPr>
        <w:t xml:space="preserve"> &amp; </w:t>
      </w:r>
      <w:proofErr w:type="spellStart"/>
      <w:r>
        <w:rPr>
          <w:sz w:val="22"/>
        </w:rPr>
        <w:t>Nikaido</w:t>
      </w:r>
      <w:proofErr w:type="spellEnd"/>
      <w:r>
        <w:rPr>
          <w:sz w:val="22"/>
        </w:rPr>
        <w:t>, I. (2017). SCODE: an efficient regulatory network inference algorithm from single-cell RNA-Seq during differentiation. Bioinformatics, 33(15), 2314–2321. https://doi.org/10.1093/bioinformatics/btx194</w:t>
      </w:r>
    </w:p>
    <w:p w:rsidR="000E6725" w:rsidRDefault="004B7759">
      <w:pPr>
        <w:spacing w:after="100"/>
        <w:ind w:left="720" w:hanging="720"/>
      </w:pPr>
      <w:proofErr w:type="spellStart"/>
      <w:r>
        <w:rPr>
          <w:sz w:val="22"/>
        </w:rPr>
        <w:t>Moerman</w:t>
      </w:r>
      <w:proofErr w:type="spellEnd"/>
      <w:r>
        <w:rPr>
          <w:sz w:val="22"/>
        </w:rPr>
        <w:t xml:space="preserve">, T., </w:t>
      </w:r>
      <w:proofErr w:type="spellStart"/>
      <w:r>
        <w:rPr>
          <w:sz w:val="22"/>
        </w:rPr>
        <w:t>Aibar</w:t>
      </w:r>
      <w:proofErr w:type="spellEnd"/>
      <w:r>
        <w:rPr>
          <w:sz w:val="22"/>
        </w:rPr>
        <w:t xml:space="preserve">, S., Bravo González-Blas, C., </w:t>
      </w:r>
      <w:proofErr w:type="spellStart"/>
      <w:r>
        <w:rPr>
          <w:sz w:val="22"/>
        </w:rPr>
        <w:t>Simm</w:t>
      </w:r>
      <w:proofErr w:type="spellEnd"/>
      <w:r>
        <w:rPr>
          <w:sz w:val="22"/>
        </w:rPr>
        <w:t xml:space="preserve">, J., Moreau, Y., </w:t>
      </w:r>
      <w:proofErr w:type="spellStart"/>
      <w:r>
        <w:rPr>
          <w:sz w:val="22"/>
        </w:rPr>
        <w:t>Aerts</w:t>
      </w:r>
      <w:proofErr w:type="spellEnd"/>
      <w:r>
        <w:rPr>
          <w:sz w:val="22"/>
        </w:rPr>
        <w:t xml:space="preserve">, J., &amp; </w:t>
      </w:r>
      <w:proofErr w:type="spellStart"/>
      <w:r>
        <w:rPr>
          <w:sz w:val="22"/>
        </w:rPr>
        <w:t>Aerts</w:t>
      </w:r>
      <w:proofErr w:type="spellEnd"/>
      <w:r>
        <w:rPr>
          <w:sz w:val="22"/>
        </w:rPr>
        <w:t xml:space="preserve">, S. (2019). GRNBoost2 and </w:t>
      </w:r>
      <w:proofErr w:type="spellStart"/>
      <w:r>
        <w:rPr>
          <w:sz w:val="22"/>
        </w:rPr>
        <w:t>Arboreto</w:t>
      </w:r>
      <w:proofErr w:type="spellEnd"/>
      <w:r>
        <w:rPr>
          <w:sz w:val="22"/>
        </w:rPr>
        <w:t>: efficient and scalable inference of gene regulatory networks. Bioinformatics, 35(12), 2159–2161. https://doi.org/10.1093/bioinformatics/bty916</w:t>
      </w:r>
    </w:p>
    <w:p w:rsidR="000E6725" w:rsidRDefault="004B7759">
      <w:pPr>
        <w:spacing w:after="100"/>
        <w:ind w:left="720" w:hanging="720"/>
      </w:pPr>
      <w:r>
        <w:rPr>
          <w:sz w:val="22"/>
        </w:rPr>
        <w:t xml:space="preserve">Nguyen, T., Tong, A., Madan, K., </w:t>
      </w:r>
      <w:proofErr w:type="spellStart"/>
      <w:r>
        <w:rPr>
          <w:sz w:val="22"/>
        </w:rPr>
        <w:t>Bengio</w:t>
      </w:r>
      <w:proofErr w:type="spellEnd"/>
      <w:r>
        <w:rPr>
          <w:sz w:val="22"/>
        </w:rPr>
        <w:t xml:space="preserve">, Y., &amp; Liu, D. (2023). Causal inference in gene regulatory networks with </w:t>
      </w:r>
      <w:proofErr w:type="spellStart"/>
      <w:r>
        <w:rPr>
          <w:sz w:val="22"/>
        </w:rPr>
        <w:t>GFlowNet</w:t>
      </w:r>
      <w:proofErr w:type="spellEnd"/>
      <w:r>
        <w:rPr>
          <w:sz w:val="22"/>
        </w:rPr>
        <w:t xml:space="preserve">: Towards scalability in large systems. </w:t>
      </w:r>
      <w:proofErr w:type="spellStart"/>
      <w:proofErr w:type="gramStart"/>
      <w:r>
        <w:rPr>
          <w:sz w:val="22"/>
        </w:rPr>
        <w:t>arXiv</w:t>
      </w:r>
      <w:proofErr w:type="spellEnd"/>
      <w:proofErr w:type="gramEnd"/>
      <w:r>
        <w:rPr>
          <w:sz w:val="22"/>
        </w:rPr>
        <w:t xml:space="preserve"> preprint arXiv:2310.03579.</w:t>
      </w:r>
    </w:p>
    <w:p w:rsidR="000E6725" w:rsidRDefault="004B7759">
      <w:pPr>
        <w:spacing w:after="100"/>
        <w:ind w:left="720" w:hanging="720"/>
      </w:pPr>
      <w:r>
        <w:rPr>
          <w:sz w:val="22"/>
        </w:rPr>
        <w:t xml:space="preserve">Norman, T. M., </w:t>
      </w:r>
      <w:proofErr w:type="spellStart"/>
      <w:r>
        <w:rPr>
          <w:sz w:val="22"/>
        </w:rPr>
        <w:t>Horlbeck</w:t>
      </w:r>
      <w:proofErr w:type="spellEnd"/>
      <w:r>
        <w:rPr>
          <w:sz w:val="22"/>
        </w:rPr>
        <w:t xml:space="preserve">, M. A., </w:t>
      </w:r>
      <w:proofErr w:type="spellStart"/>
      <w:r>
        <w:rPr>
          <w:sz w:val="22"/>
        </w:rPr>
        <w:t>Replogle</w:t>
      </w:r>
      <w:proofErr w:type="spellEnd"/>
      <w:r>
        <w:rPr>
          <w:sz w:val="22"/>
        </w:rPr>
        <w:t xml:space="preserve">, J. M., Ge, A. Y., Xu, A., </w:t>
      </w:r>
      <w:proofErr w:type="spellStart"/>
      <w:r>
        <w:rPr>
          <w:sz w:val="22"/>
        </w:rPr>
        <w:t>Jost</w:t>
      </w:r>
      <w:proofErr w:type="spellEnd"/>
      <w:r>
        <w:rPr>
          <w:sz w:val="22"/>
        </w:rPr>
        <w:t>, M</w:t>
      </w:r>
      <w:proofErr w:type="gramStart"/>
      <w:r>
        <w:rPr>
          <w:sz w:val="22"/>
        </w:rPr>
        <w:t>., ...</w:t>
      </w:r>
      <w:proofErr w:type="gramEnd"/>
      <w:r>
        <w:rPr>
          <w:sz w:val="22"/>
        </w:rPr>
        <w:t xml:space="preserve"> &amp; </w:t>
      </w:r>
      <w:proofErr w:type="spellStart"/>
      <w:r>
        <w:rPr>
          <w:sz w:val="22"/>
        </w:rPr>
        <w:t>Weissman</w:t>
      </w:r>
      <w:proofErr w:type="spellEnd"/>
      <w:r>
        <w:rPr>
          <w:sz w:val="22"/>
        </w:rPr>
        <w:t>, J. S. (2019). Exploring genetic interaction manifolds constructed from rich single-cell phenotypes. Science, 365(6452), eaax4438. https://doi.org/10.1126/science.aax4438</w:t>
      </w:r>
    </w:p>
    <w:p w:rsidR="000E6725" w:rsidRDefault="004B7759">
      <w:pPr>
        <w:spacing w:after="100"/>
        <w:ind w:left="720" w:hanging="720"/>
      </w:pPr>
      <w:r>
        <w:rPr>
          <w:sz w:val="22"/>
        </w:rPr>
        <w:t xml:space="preserve">Page, L., </w:t>
      </w:r>
      <w:proofErr w:type="spellStart"/>
      <w:r>
        <w:rPr>
          <w:sz w:val="22"/>
        </w:rPr>
        <w:t>Brin</w:t>
      </w:r>
      <w:proofErr w:type="spellEnd"/>
      <w:r>
        <w:rPr>
          <w:sz w:val="22"/>
        </w:rPr>
        <w:t xml:space="preserve">, S., </w:t>
      </w:r>
      <w:proofErr w:type="spellStart"/>
      <w:r>
        <w:rPr>
          <w:sz w:val="22"/>
        </w:rPr>
        <w:t>Motwani</w:t>
      </w:r>
      <w:proofErr w:type="spellEnd"/>
      <w:r>
        <w:rPr>
          <w:sz w:val="22"/>
        </w:rPr>
        <w:t xml:space="preserve">, R., &amp; </w:t>
      </w:r>
      <w:proofErr w:type="spellStart"/>
      <w:r>
        <w:rPr>
          <w:sz w:val="22"/>
        </w:rPr>
        <w:t>Winograd</w:t>
      </w:r>
      <w:proofErr w:type="spellEnd"/>
      <w:r>
        <w:rPr>
          <w:sz w:val="22"/>
        </w:rPr>
        <w:t xml:space="preserve">, T. (1999). The PageRank citation ranking: Bringing order to the web. Stanford </w:t>
      </w:r>
      <w:proofErr w:type="spellStart"/>
      <w:r>
        <w:rPr>
          <w:sz w:val="22"/>
        </w:rPr>
        <w:t>InfoLab</w:t>
      </w:r>
      <w:proofErr w:type="spellEnd"/>
      <w:r>
        <w:rPr>
          <w:sz w:val="22"/>
        </w:rPr>
        <w:t xml:space="preserve"> Technical Report 1999-66.</w:t>
      </w:r>
    </w:p>
    <w:p w:rsidR="000E6725" w:rsidRDefault="004B7759">
      <w:pPr>
        <w:spacing w:after="100"/>
        <w:ind w:left="720" w:hanging="720"/>
      </w:pPr>
      <w:r>
        <w:rPr>
          <w:sz w:val="22"/>
        </w:rPr>
        <w:t xml:space="preserve">Pearl, J. (2009). Causality: Models, Reasoning, and Inference. (2nd </w:t>
      </w:r>
      <w:proofErr w:type="gramStart"/>
      <w:r>
        <w:rPr>
          <w:sz w:val="22"/>
        </w:rPr>
        <w:t>ed</w:t>
      </w:r>
      <w:proofErr w:type="gramEnd"/>
      <w:r>
        <w:rPr>
          <w:sz w:val="22"/>
        </w:rPr>
        <w:t>.). Cambridge University Press. https://doi.org/10.1017/CBO9780511803161</w:t>
      </w:r>
    </w:p>
    <w:p w:rsidR="000E6725" w:rsidRDefault="004B7759">
      <w:pPr>
        <w:spacing w:after="100"/>
        <w:ind w:left="720" w:hanging="720"/>
      </w:pPr>
      <w:proofErr w:type="spellStart"/>
      <w:r>
        <w:rPr>
          <w:sz w:val="22"/>
        </w:rPr>
        <w:t>Perou</w:t>
      </w:r>
      <w:proofErr w:type="spellEnd"/>
      <w:r>
        <w:rPr>
          <w:sz w:val="22"/>
        </w:rPr>
        <w:t xml:space="preserve">, C. M., </w:t>
      </w:r>
      <w:proofErr w:type="spellStart"/>
      <w:r>
        <w:rPr>
          <w:sz w:val="22"/>
        </w:rPr>
        <w:t>Sørlie</w:t>
      </w:r>
      <w:proofErr w:type="spellEnd"/>
      <w:r>
        <w:rPr>
          <w:sz w:val="22"/>
        </w:rPr>
        <w:t xml:space="preserve">, T., </w:t>
      </w:r>
      <w:proofErr w:type="spellStart"/>
      <w:r>
        <w:rPr>
          <w:sz w:val="22"/>
        </w:rPr>
        <w:t>Eisen</w:t>
      </w:r>
      <w:proofErr w:type="spellEnd"/>
      <w:r>
        <w:rPr>
          <w:sz w:val="22"/>
        </w:rPr>
        <w:t>, M. B., van de Rijn, M., Jeffrey, S. S., Rees, C. A</w:t>
      </w:r>
      <w:proofErr w:type="gramStart"/>
      <w:r>
        <w:rPr>
          <w:sz w:val="22"/>
        </w:rPr>
        <w:t>., ...</w:t>
      </w:r>
      <w:proofErr w:type="gramEnd"/>
      <w:r>
        <w:rPr>
          <w:sz w:val="22"/>
        </w:rPr>
        <w:t xml:space="preserve"> &amp; Botstein, D. (2000). Molecular portraits of human breast </w:t>
      </w:r>
      <w:proofErr w:type="spellStart"/>
      <w:r>
        <w:rPr>
          <w:sz w:val="22"/>
        </w:rPr>
        <w:t>tumours</w:t>
      </w:r>
      <w:proofErr w:type="spellEnd"/>
      <w:r>
        <w:rPr>
          <w:sz w:val="22"/>
        </w:rPr>
        <w:t>. Nature, 406(6797), 747–752. https://doi.org/10.1038/35021093</w:t>
      </w:r>
    </w:p>
    <w:p w:rsidR="000E6725" w:rsidRDefault="004B7759">
      <w:pPr>
        <w:spacing w:after="100"/>
        <w:ind w:left="720" w:hanging="720"/>
      </w:pPr>
      <w:r>
        <w:rPr>
          <w:sz w:val="22"/>
        </w:rPr>
        <w:t xml:space="preserve">Peters, J., </w:t>
      </w:r>
      <w:proofErr w:type="spellStart"/>
      <w:r>
        <w:rPr>
          <w:sz w:val="22"/>
        </w:rPr>
        <w:t>Bühlmann</w:t>
      </w:r>
      <w:proofErr w:type="spellEnd"/>
      <w:r>
        <w:rPr>
          <w:sz w:val="22"/>
        </w:rPr>
        <w:t xml:space="preserve">, P., &amp; </w:t>
      </w:r>
      <w:proofErr w:type="spellStart"/>
      <w:r>
        <w:rPr>
          <w:sz w:val="22"/>
        </w:rPr>
        <w:t>Meinshausen</w:t>
      </w:r>
      <w:proofErr w:type="spellEnd"/>
      <w:r>
        <w:rPr>
          <w:sz w:val="22"/>
        </w:rPr>
        <w:t>, N. (2016). Causal inference by using invariant prediction: identification and confidence intervals. Journal of the Royal Statistical Society: Series B (Statistical Methodology), 78(5), 947–1012. https://doi.org/10.1111/rssb.12167</w:t>
      </w:r>
    </w:p>
    <w:p w:rsidR="000E6725" w:rsidRDefault="004B7759">
      <w:pPr>
        <w:spacing w:after="100"/>
        <w:ind w:left="720" w:hanging="720"/>
      </w:pPr>
      <w:r>
        <w:rPr>
          <w:sz w:val="22"/>
        </w:rPr>
        <w:t xml:space="preserve">Peters, J., </w:t>
      </w:r>
      <w:proofErr w:type="spellStart"/>
      <w:r>
        <w:rPr>
          <w:sz w:val="22"/>
        </w:rPr>
        <w:t>Janzing</w:t>
      </w:r>
      <w:proofErr w:type="spellEnd"/>
      <w:r>
        <w:rPr>
          <w:sz w:val="22"/>
        </w:rPr>
        <w:t xml:space="preserve">, D., &amp; </w:t>
      </w:r>
      <w:proofErr w:type="spellStart"/>
      <w:r>
        <w:rPr>
          <w:sz w:val="22"/>
        </w:rPr>
        <w:t>Schölkopf</w:t>
      </w:r>
      <w:proofErr w:type="spellEnd"/>
      <w:r>
        <w:rPr>
          <w:sz w:val="22"/>
        </w:rPr>
        <w:t>, B. (2017). Elements of Causal Inference: Foundations and Learning Algorithms. MIT Press.</w:t>
      </w:r>
    </w:p>
    <w:p w:rsidR="000E6725" w:rsidRDefault="004B7759">
      <w:pPr>
        <w:spacing w:after="100"/>
        <w:ind w:left="720" w:hanging="720"/>
      </w:pPr>
      <w:r>
        <w:rPr>
          <w:sz w:val="22"/>
        </w:rPr>
        <w:t xml:space="preserve">Phillips, J. E., &amp; </w:t>
      </w:r>
      <w:proofErr w:type="spellStart"/>
      <w:r>
        <w:rPr>
          <w:sz w:val="22"/>
        </w:rPr>
        <w:t>Corces</w:t>
      </w:r>
      <w:proofErr w:type="spellEnd"/>
      <w:r>
        <w:rPr>
          <w:sz w:val="22"/>
        </w:rPr>
        <w:t>, V. G. (2009). CTCF: master weaver of the genome. Cell, 137(7), 1194–1211. https://doi.org/10.1016/j.cell.2009.06.001</w:t>
      </w:r>
    </w:p>
    <w:p w:rsidR="000E6725" w:rsidRDefault="004B7759">
      <w:pPr>
        <w:spacing w:after="100"/>
        <w:ind w:left="720" w:hanging="720"/>
      </w:pPr>
      <w:r>
        <w:rPr>
          <w:sz w:val="22"/>
        </w:rPr>
        <w:t xml:space="preserve">Pratapa, A., </w:t>
      </w:r>
      <w:proofErr w:type="spellStart"/>
      <w:r>
        <w:rPr>
          <w:sz w:val="22"/>
        </w:rPr>
        <w:t>Jalihal</w:t>
      </w:r>
      <w:proofErr w:type="spellEnd"/>
      <w:r>
        <w:rPr>
          <w:sz w:val="22"/>
        </w:rPr>
        <w:t xml:space="preserve">, A. P., Law, J. N., </w:t>
      </w:r>
      <w:proofErr w:type="spellStart"/>
      <w:r>
        <w:rPr>
          <w:sz w:val="22"/>
        </w:rPr>
        <w:t>Bharadwaj</w:t>
      </w:r>
      <w:proofErr w:type="spellEnd"/>
      <w:r>
        <w:rPr>
          <w:sz w:val="22"/>
        </w:rPr>
        <w:t xml:space="preserve">, A., &amp; </w:t>
      </w:r>
      <w:proofErr w:type="spellStart"/>
      <w:r>
        <w:rPr>
          <w:sz w:val="22"/>
        </w:rPr>
        <w:t>Murali</w:t>
      </w:r>
      <w:proofErr w:type="spellEnd"/>
      <w:r>
        <w:rPr>
          <w:sz w:val="22"/>
        </w:rPr>
        <w:t>, T. M. (2020). Benchmarking algorithms for gene regulatory network inference from single-cell transcriptomic data (BEELINE). Nature Methods, 17(2), 147–154. https://doi.org/10.1038/s41592-019-0690-6</w:t>
      </w:r>
    </w:p>
    <w:p w:rsidR="000E6725" w:rsidRDefault="004B7759">
      <w:pPr>
        <w:spacing w:after="100"/>
        <w:ind w:left="720" w:hanging="720"/>
      </w:pPr>
      <w:proofErr w:type="spellStart"/>
      <w:r>
        <w:rPr>
          <w:sz w:val="22"/>
        </w:rPr>
        <w:t>Rakha</w:t>
      </w:r>
      <w:proofErr w:type="spellEnd"/>
      <w:r>
        <w:rPr>
          <w:sz w:val="22"/>
        </w:rPr>
        <w:t>, E. A., El-Sayed, M. E., Green, A. R., Lee, A. H., Robertson, J. F., &amp; Ellis, I. O. (2007). Prognostic markers in triple-negative breast cancer. Cancer, 109(1), 25–32. https://doi.org/10.1002/cncr.22381</w:t>
      </w:r>
    </w:p>
    <w:p w:rsidR="000E6725" w:rsidRDefault="004B7759">
      <w:pPr>
        <w:spacing w:after="100"/>
        <w:ind w:left="720" w:hanging="720"/>
      </w:pPr>
      <w:proofErr w:type="spellStart"/>
      <w:r>
        <w:rPr>
          <w:sz w:val="22"/>
        </w:rPr>
        <w:lastRenderedPageBreak/>
        <w:t>Replogle</w:t>
      </w:r>
      <w:proofErr w:type="spellEnd"/>
      <w:r>
        <w:rPr>
          <w:sz w:val="22"/>
        </w:rPr>
        <w:t>, J. M., Norman, T. M., Xu, A., Hussmann, J. A., Chen, J., Cogan, J. Z</w:t>
      </w:r>
      <w:proofErr w:type="gramStart"/>
      <w:r>
        <w:rPr>
          <w:sz w:val="22"/>
        </w:rPr>
        <w:t>., ...</w:t>
      </w:r>
      <w:proofErr w:type="gramEnd"/>
      <w:r>
        <w:rPr>
          <w:sz w:val="22"/>
        </w:rPr>
        <w:t xml:space="preserve"> &amp; </w:t>
      </w:r>
      <w:proofErr w:type="spellStart"/>
      <w:r>
        <w:rPr>
          <w:sz w:val="22"/>
        </w:rPr>
        <w:t>Weissman</w:t>
      </w:r>
      <w:proofErr w:type="spellEnd"/>
      <w:r>
        <w:rPr>
          <w:sz w:val="22"/>
        </w:rPr>
        <w:t>, J. S. (2020). Combinatorial single-cell CRISPR screens by direct guide RNA capture and targeted sequencing. Nature Biotechnology, 38(8), 954–961. https://doi.org/10.1038/s41587-020-0470-y</w:t>
      </w:r>
    </w:p>
    <w:p w:rsidR="000E6725" w:rsidRDefault="004B7759">
      <w:pPr>
        <w:spacing w:after="100"/>
        <w:ind w:left="720" w:hanging="720"/>
      </w:pPr>
      <w:proofErr w:type="spellStart"/>
      <w:r>
        <w:rPr>
          <w:sz w:val="22"/>
        </w:rPr>
        <w:t>Replogle</w:t>
      </w:r>
      <w:proofErr w:type="spellEnd"/>
      <w:r>
        <w:rPr>
          <w:sz w:val="22"/>
        </w:rPr>
        <w:t xml:space="preserve">, J. M., Saunders, R. A., </w:t>
      </w:r>
      <w:proofErr w:type="spellStart"/>
      <w:r>
        <w:rPr>
          <w:sz w:val="22"/>
        </w:rPr>
        <w:t>Pogson</w:t>
      </w:r>
      <w:proofErr w:type="spellEnd"/>
      <w:r>
        <w:rPr>
          <w:sz w:val="22"/>
        </w:rPr>
        <w:t xml:space="preserve">, A. N., Hussmann, J. A., </w:t>
      </w:r>
      <w:proofErr w:type="spellStart"/>
      <w:r>
        <w:rPr>
          <w:sz w:val="22"/>
        </w:rPr>
        <w:t>Lenail</w:t>
      </w:r>
      <w:proofErr w:type="spellEnd"/>
      <w:r>
        <w:rPr>
          <w:sz w:val="22"/>
        </w:rPr>
        <w:t xml:space="preserve">, A., </w:t>
      </w:r>
      <w:proofErr w:type="spellStart"/>
      <w:r>
        <w:rPr>
          <w:sz w:val="22"/>
        </w:rPr>
        <w:t>Guna</w:t>
      </w:r>
      <w:proofErr w:type="spellEnd"/>
      <w:r>
        <w:rPr>
          <w:sz w:val="22"/>
        </w:rPr>
        <w:t xml:space="preserve">, A., ... &amp; </w:t>
      </w:r>
      <w:proofErr w:type="spellStart"/>
      <w:r>
        <w:rPr>
          <w:sz w:val="22"/>
        </w:rPr>
        <w:t>Weissman</w:t>
      </w:r>
      <w:proofErr w:type="spellEnd"/>
      <w:r>
        <w:rPr>
          <w:sz w:val="22"/>
        </w:rPr>
        <w:t>, J. S. (2022). Mapping information-rich genotype-phenotype landscapes with genome-scale Perturb-seq. Cell, 185(14), 2559–2575. https://doi.org/10.1016/j.cell.2022.05.013</w:t>
      </w:r>
    </w:p>
    <w:p w:rsidR="000E6725" w:rsidRDefault="004B7759">
      <w:pPr>
        <w:spacing w:after="100"/>
        <w:ind w:left="720" w:hanging="720"/>
      </w:pPr>
      <w:r>
        <w:rPr>
          <w:sz w:val="22"/>
        </w:rPr>
        <w:t xml:space="preserve">Robson, M., </w:t>
      </w:r>
      <w:proofErr w:type="spellStart"/>
      <w:r>
        <w:rPr>
          <w:sz w:val="22"/>
        </w:rPr>
        <w:t>Im</w:t>
      </w:r>
      <w:proofErr w:type="spellEnd"/>
      <w:r>
        <w:rPr>
          <w:sz w:val="22"/>
        </w:rPr>
        <w:t xml:space="preserve">, S. A., </w:t>
      </w:r>
      <w:proofErr w:type="spellStart"/>
      <w:r>
        <w:rPr>
          <w:sz w:val="22"/>
        </w:rPr>
        <w:t>Senkus</w:t>
      </w:r>
      <w:proofErr w:type="spellEnd"/>
      <w:r>
        <w:rPr>
          <w:sz w:val="22"/>
        </w:rPr>
        <w:t xml:space="preserve">, E., Xu, B., </w:t>
      </w:r>
      <w:proofErr w:type="spellStart"/>
      <w:r>
        <w:rPr>
          <w:sz w:val="22"/>
        </w:rPr>
        <w:t>Domchek</w:t>
      </w:r>
      <w:proofErr w:type="spellEnd"/>
      <w:r>
        <w:rPr>
          <w:sz w:val="22"/>
        </w:rPr>
        <w:t>, S. M., Masuda, N</w:t>
      </w:r>
      <w:proofErr w:type="gramStart"/>
      <w:r>
        <w:rPr>
          <w:sz w:val="22"/>
        </w:rPr>
        <w:t>., ...</w:t>
      </w:r>
      <w:proofErr w:type="gramEnd"/>
      <w:r>
        <w:rPr>
          <w:sz w:val="22"/>
        </w:rPr>
        <w:t xml:space="preserve"> &amp; Conte, P. (2017). </w:t>
      </w:r>
      <w:proofErr w:type="spellStart"/>
      <w:r>
        <w:rPr>
          <w:sz w:val="22"/>
        </w:rPr>
        <w:t>Olaparib</w:t>
      </w:r>
      <w:proofErr w:type="spellEnd"/>
      <w:r>
        <w:rPr>
          <w:sz w:val="22"/>
        </w:rPr>
        <w:t xml:space="preserve"> for metastatic breast cancer in patients with a germline BRCA mutation. New England Journal of Medicine, 377(6), 523–533. https://doi.org/10.1056/NEJMoa1706450</w:t>
      </w:r>
    </w:p>
    <w:p w:rsidR="000E6725" w:rsidRDefault="004B7759">
      <w:pPr>
        <w:spacing w:after="100"/>
        <w:ind w:left="720" w:hanging="720"/>
      </w:pPr>
      <w:proofErr w:type="spellStart"/>
      <w:r>
        <w:rPr>
          <w:sz w:val="22"/>
        </w:rPr>
        <w:t>Roohani</w:t>
      </w:r>
      <w:proofErr w:type="spellEnd"/>
      <w:r>
        <w:rPr>
          <w:sz w:val="22"/>
        </w:rPr>
        <w:t xml:space="preserve">, Y., Huang, K., &amp; </w:t>
      </w:r>
      <w:proofErr w:type="spellStart"/>
      <w:r>
        <w:rPr>
          <w:sz w:val="22"/>
        </w:rPr>
        <w:t>Leskovec</w:t>
      </w:r>
      <w:proofErr w:type="spellEnd"/>
      <w:r>
        <w:rPr>
          <w:sz w:val="22"/>
        </w:rPr>
        <w:t>, J. (2023). Predicting transcriptional outcomes of novel multigene perturbations with GEARS. Nature Biotechnology, 42(6), 927–935. https://doi.org/10.1038/s41587-023-01905-6</w:t>
      </w:r>
    </w:p>
    <w:p w:rsidR="000E6725" w:rsidRDefault="004B7759">
      <w:pPr>
        <w:spacing w:after="100"/>
        <w:ind w:left="720" w:hanging="720"/>
      </w:pPr>
      <w:r>
        <w:rPr>
          <w:sz w:val="22"/>
        </w:rPr>
        <w:t xml:space="preserve">Sabari, B. R., </w:t>
      </w:r>
      <w:proofErr w:type="spellStart"/>
      <w:r>
        <w:rPr>
          <w:sz w:val="22"/>
        </w:rPr>
        <w:t>Dall’Agnese</w:t>
      </w:r>
      <w:proofErr w:type="spellEnd"/>
      <w:r>
        <w:rPr>
          <w:sz w:val="22"/>
        </w:rPr>
        <w:t xml:space="preserve">, A., </w:t>
      </w:r>
      <w:proofErr w:type="spellStart"/>
      <w:r>
        <w:rPr>
          <w:sz w:val="22"/>
        </w:rPr>
        <w:t>Boija</w:t>
      </w:r>
      <w:proofErr w:type="spellEnd"/>
      <w:r>
        <w:rPr>
          <w:sz w:val="22"/>
        </w:rPr>
        <w:t xml:space="preserve">, A., Klein, I. A., Coffey, E. L., </w:t>
      </w:r>
      <w:proofErr w:type="spellStart"/>
      <w:r>
        <w:rPr>
          <w:sz w:val="22"/>
        </w:rPr>
        <w:t>Shrinivas</w:t>
      </w:r>
      <w:proofErr w:type="spellEnd"/>
      <w:r>
        <w:rPr>
          <w:sz w:val="22"/>
        </w:rPr>
        <w:t>, K</w:t>
      </w:r>
      <w:proofErr w:type="gramStart"/>
      <w:r>
        <w:rPr>
          <w:sz w:val="22"/>
        </w:rPr>
        <w:t>., ...</w:t>
      </w:r>
      <w:proofErr w:type="gramEnd"/>
      <w:r>
        <w:rPr>
          <w:sz w:val="22"/>
        </w:rPr>
        <w:t xml:space="preserve"> &amp; Young, R. A. (2018). Coactivator condensation at super-enhancers links phase separation and gene control. Science, 361(6400), eaar3958. https://doi.org/10.1126/science.aar3958</w:t>
      </w:r>
    </w:p>
    <w:p w:rsidR="000E6725" w:rsidRDefault="004B7759">
      <w:pPr>
        <w:spacing w:after="100"/>
        <w:ind w:left="720" w:hanging="720"/>
      </w:pPr>
      <w:proofErr w:type="spellStart"/>
      <w:r>
        <w:rPr>
          <w:sz w:val="22"/>
        </w:rPr>
        <w:t>Schölkopf</w:t>
      </w:r>
      <w:proofErr w:type="spellEnd"/>
      <w:r>
        <w:rPr>
          <w:sz w:val="22"/>
        </w:rPr>
        <w:t xml:space="preserve">, B., </w:t>
      </w:r>
      <w:proofErr w:type="spellStart"/>
      <w:r>
        <w:rPr>
          <w:sz w:val="22"/>
        </w:rPr>
        <w:t>Locatello</w:t>
      </w:r>
      <w:proofErr w:type="spellEnd"/>
      <w:r>
        <w:rPr>
          <w:sz w:val="22"/>
        </w:rPr>
        <w:t xml:space="preserve">, F., Bauer, S., </w:t>
      </w:r>
      <w:proofErr w:type="spellStart"/>
      <w:r>
        <w:rPr>
          <w:sz w:val="22"/>
        </w:rPr>
        <w:t>Ke</w:t>
      </w:r>
      <w:proofErr w:type="spellEnd"/>
      <w:r>
        <w:rPr>
          <w:sz w:val="22"/>
        </w:rPr>
        <w:t xml:space="preserve">, N. R., </w:t>
      </w:r>
      <w:proofErr w:type="spellStart"/>
      <w:r>
        <w:rPr>
          <w:sz w:val="22"/>
        </w:rPr>
        <w:t>Kalchbrenner</w:t>
      </w:r>
      <w:proofErr w:type="spellEnd"/>
      <w:r>
        <w:rPr>
          <w:sz w:val="22"/>
        </w:rPr>
        <w:t xml:space="preserve">, N., &amp; </w:t>
      </w:r>
      <w:proofErr w:type="spellStart"/>
      <w:r>
        <w:rPr>
          <w:sz w:val="22"/>
        </w:rPr>
        <w:t>Goyal</w:t>
      </w:r>
      <w:proofErr w:type="spellEnd"/>
      <w:r>
        <w:rPr>
          <w:sz w:val="22"/>
        </w:rPr>
        <w:t>, A. (2021). Toward causal representation learning. Proceedings of the IEEE, 109(5), 612–634. https://doi.org/10.1109/JPROC.2021.3058954</w:t>
      </w:r>
    </w:p>
    <w:p w:rsidR="000E6725" w:rsidRDefault="004B7759">
      <w:pPr>
        <w:spacing w:after="100"/>
        <w:ind w:left="720" w:hanging="720"/>
      </w:pPr>
      <w:proofErr w:type="spellStart"/>
      <w:r>
        <w:rPr>
          <w:sz w:val="22"/>
        </w:rPr>
        <w:t>Shaulian</w:t>
      </w:r>
      <w:proofErr w:type="spellEnd"/>
      <w:r>
        <w:rPr>
          <w:sz w:val="22"/>
        </w:rPr>
        <w:t>, E., &amp; Karin, M. (2002). AP-1 in cell proliferation and survival. Oncogene, 20(19), 2390–2400. https://doi.org/10.1038/sj.onc.1204383</w:t>
      </w:r>
    </w:p>
    <w:p w:rsidR="000E6725" w:rsidRDefault="004B7759">
      <w:pPr>
        <w:spacing w:after="100"/>
        <w:ind w:left="720" w:hanging="720"/>
      </w:pPr>
      <w:proofErr w:type="spellStart"/>
      <w:r>
        <w:rPr>
          <w:sz w:val="22"/>
        </w:rPr>
        <w:t>Shojaee</w:t>
      </w:r>
      <w:proofErr w:type="spellEnd"/>
      <w:r>
        <w:rPr>
          <w:sz w:val="22"/>
        </w:rPr>
        <w:t>, A., &amp; Huang, S.-S. C. (2023). Robust discovery of gene regulatory networks. Briefings in Bioinformatics, 24(5), bbad370. https://doi.org/10.1093/bib/bbad370</w:t>
      </w:r>
    </w:p>
    <w:p w:rsidR="000E6725" w:rsidRDefault="004B7759">
      <w:pPr>
        <w:spacing w:after="100"/>
        <w:ind w:left="720" w:hanging="720"/>
      </w:pPr>
      <w:proofErr w:type="spellStart"/>
      <w:r>
        <w:rPr>
          <w:sz w:val="22"/>
        </w:rPr>
        <w:t>Spirtes</w:t>
      </w:r>
      <w:proofErr w:type="spellEnd"/>
      <w:r>
        <w:rPr>
          <w:sz w:val="22"/>
        </w:rPr>
        <w:t xml:space="preserve">, P., </w:t>
      </w:r>
      <w:proofErr w:type="spellStart"/>
      <w:r>
        <w:rPr>
          <w:sz w:val="22"/>
        </w:rPr>
        <w:t>Glymour</w:t>
      </w:r>
      <w:proofErr w:type="spellEnd"/>
      <w:r>
        <w:rPr>
          <w:sz w:val="22"/>
        </w:rPr>
        <w:t xml:space="preserve">, C. N., &amp; </w:t>
      </w:r>
      <w:proofErr w:type="spellStart"/>
      <w:r>
        <w:rPr>
          <w:sz w:val="22"/>
        </w:rPr>
        <w:t>Scheines</w:t>
      </w:r>
      <w:proofErr w:type="spellEnd"/>
      <w:r>
        <w:rPr>
          <w:sz w:val="22"/>
        </w:rPr>
        <w:t xml:space="preserve">, R. (2000). Causation, Prediction, and Search. (2nd </w:t>
      </w:r>
      <w:proofErr w:type="gramStart"/>
      <w:r>
        <w:rPr>
          <w:sz w:val="22"/>
        </w:rPr>
        <w:t>ed</w:t>
      </w:r>
      <w:proofErr w:type="gramEnd"/>
      <w:r>
        <w:rPr>
          <w:sz w:val="22"/>
        </w:rPr>
        <w:t>.). MIT Press. https://doi.org/10.7551/mitpress/1754.001.0001</w:t>
      </w:r>
    </w:p>
    <w:p w:rsidR="000E6725" w:rsidRDefault="004B7759">
      <w:pPr>
        <w:spacing w:after="100"/>
        <w:ind w:left="720" w:hanging="720"/>
      </w:pPr>
      <w:r>
        <w:rPr>
          <w:sz w:val="22"/>
        </w:rPr>
        <w:t xml:space="preserve">Subramanian, A., Tamayo, P., </w:t>
      </w:r>
      <w:proofErr w:type="spellStart"/>
      <w:r>
        <w:rPr>
          <w:sz w:val="22"/>
        </w:rPr>
        <w:t>Mootha</w:t>
      </w:r>
      <w:proofErr w:type="spellEnd"/>
      <w:r>
        <w:rPr>
          <w:sz w:val="22"/>
        </w:rPr>
        <w:t>, V. K., Mukherjee, S., Ebert, B. L., Gillette, M. A</w:t>
      </w:r>
      <w:proofErr w:type="gramStart"/>
      <w:r>
        <w:rPr>
          <w:sz w:val="22"/>
        </w:rPr>
        <w:t>., ...</w:t>
      </w:r>
      <w:proofErr w:type="gramEnd"/>
      <w:r>
        <w:rPr>
          <w:sz w:val="22"/>
        </w:rPr>
        <w:t xml:space="preserve"> &amp; </w:t>
      </w:r>
      <w:proofErr w:type="spellStart"/>
      <w:r>
        <w:rPr>
          <w:sz w:val="22"/>
        </w:rPr>
        <w:t>Mesirov</w:t>
      </w:r>
      <w:proofErr w:type="spellEnd"/>
      <w:r>
        <w:rPr>
          <w:sz w:val="22"/>
        </w:rPr>
        <w:t>, J. P. (2005). Gene set enrichment analysis: a knowledge-based approach for interpreting genome-wide expression profiles. Proceedings of the National Academy of Sciences (PNAS), 102(43), 15545–15550. https://doi.org/10.1073/pnas.0506580102</w:t>
      </w:r>
    </w:p>
    <w:p w:rsidR="000E6725" w:rsidRDefault="004B7759">
      <w:pPr>
        <w:spacing w:after="100"/>
        <w:ind w:left="720" w:hanging="720"/>
      </w:pPr>
      <w:proofErr w:type="spellStart"/>
      <w:r>
        <w:rPr>
          <w:sz w:val="22"/>
        </w:rPr>
        <w:t>Sørlie</w:t>
      </w:r>
      <w:proofErr w:type="spellEnd"/>
      <w:r>
        <w:rPr>
          <w:sz w:val="22"/>
        </w:rPr>
        <w:t xml:space="preserve">, T., </w:t>
      </w:r>
      <w:proofErr w:type="spellStart"/>
      <w:r>
        <w:rPr>
          <w:sz w:val="22"/>
        </w:rPr>
        <w:t>Perou</w:t>
      </w:r>
      <w:proofErr w:type="spellEnd"/>
      <w:r>
        <w:rPr>
          <w:sz w:val="22"/>
        </w:rPr>
        <w:t xml:space="preserve">, C. M., </w:t>
      </w:r>
      <w:proofErr w:type="spellStart"/>
      <w:r>
        <w:rPr>
          <w:sz w:val="22"/>
        </w:rPr>
        <w:t>Tibshirani</w:t>
      </w:r>
      <w:proofErr w:type="spellEnd"/>
      <w:r>
        <w:rPr>
          <w:sz w:val="22"/>
        </w:rPr>
        <w:t xml:space="preserve">, R., </w:t>
      </w:r>
      <w:proofErr w:type="spellStart"/>
      <w:r>
        <w:rPr>
          <w:sz w:val="22"/>
        </w:rPr>
        <w:t>Aas</w:t>
      </w:r>
      <w:proofErr w:type="spellEnd"/>
      <w:r>
        <w:rPr>
          <w:sz w:val="22"/>
        </w:rPr>
        <w:t>, T., Geisler, S., Johnsen, H</w:t>
      </w:r>
      <w:proofErr w:type="gramStart"/>
      <w:r>
        <w:rPr>
          <w:sz w:val="22"/>
        </w:rPr>
        <w:t>., ...</w:t>
      </w:r>
      <w:proofErr w:type="gramEnd"/>
      <w:r>
        <w:rPr>
          <w:sz w:val="22"/>
        </w:rPr>
        <w:t xml:space="preserve"> &amp; </w:t>
      </w:r>
      <w:proofErr w:type="spellStart"/>
      <w:r>
        <w:rPr>
          <w:sz w:val="22"/>
        </w:rPr>
        <w:t>Børresen</w:t>
      </w:r>
      <w:proofErr w:type="spellEnd"/>
      <w:r>
        <w:rPr>
          <w:sz w:val="22"/>
        </w:rPr>
        <w:t>-Dale, A. L. (2001). Gene expression patterns of breast carcinomas distinguish tumor subclasses with clinical implications. Proceedings of the National Academy of Sciences (PNAS), 98(19), 10869–10874. https://doi.org/10.1073/pnas.191367098</w:t>
      </w:r>
    </w:p>
    <w:p w:rsidR="000E6725" w:rsidRDefault="004B7759">
      <w:pPr>
        <w:spacing w:after="100"/>
        <w:ind w:left="720" w:hanging="720"/>
      </w:pPr>
      <w:proofErr w:type="spellStart"/>
      <w:r>
        <w:rPr>
          <w:sz w:val="22"/>
        </w:rPr>
        <w:t>Traag</w:t>
      </w:r>
      <w:proofErr w:type="spellEnd"/>
      <w:r>
        <w:rPr>
          <w:sz w:val="22"/>
        </w:rPr>
        <w:t xml:space="preserve">, V. A., </w:t>
      </w:r>
      <w:proofErr w:type="spellStart"/>
      <w:r>
        <w:rPr>
          <w:sz w:val="22"/>
        </w:rPr>
        <w:t>Waltman</w:t>
      </w:r>
      <w:proofErr w:type="spellEnd"/>
      <w:r>
        <w:rPr>
          <w:sz w:val="22"/>
        </w:rPr>
        <w:t>, L., &amp; van Eck, N. J. (2019). From Louvain to Leiden: guaranteeing well-connected communities. Scientific Reports, 9(1), 5233. https://doi.org/10.1038/s41598-019-41695-z</w:t>
      </w:r>
    </w:p>
    <w:p w:rsidR="000E6725" w:rsidRDefault="004B7759">
      <w:pPr>
        <w:spacing w:after="100"/>
        <w:ind w:left="720" w:hanging="720"/>
      </w:pPr>
      <w:proofErr w:type="spellStart"/>
      <w:r>
        <w:rPr>
          <w:sz w:val="22"/>
        </w:rPr>
        <w:t>Waks</w:t>
      </w:r>
      <w:proofErr w:type="spellEnd"/>
      <w:r>
        <w:rPr>
          <w:sz w:val="22"/>
        </w:rPr>
        <w:t>, A. G., &amp; Winer, E. P. (2019). Breast cancer treatment: a review. JAMA, 321(3), 288–300. https://doi.org/10.1001/jama.2018.19323</w:t>
      </w:r>
    </w:p>
    <w:p w:rsidR="000E6725" w:rsidRDefault="004B7759">
      <w:pPr>
        <w:spacing w:after="100"/>
        <w:ind w:left="720" w:hanging="720"/>
      </w:pPr>
      <w:r>
        <w:rPr>
          <w:sz w:val="22"/>
        </w:rPr>
        <w:t xml:space="preserve">Wang, J., Zhuang, J., </w:t>
      </w:r>
      <w:proofErr w:type="spellStart"/>
      <w:r>
        <w:rPr>
          <w:sz w:val="22"/>
        </w:rPr>
        <w:t>Iyer</w:t>
      </w:r>
      <w:proofErr w:type="spellEnd"/>
      <w:r>
        <w:rPr>
          <w:sz w:val="22"/>
        </w:rPr>
        <w:t>, S., Lin, X. Y., Briones, N., Rajput, M. T</w:t>
      </w:r>
      <w:proofErr w:type="gramStart"/>
      <w:r>
        <w:rPr>
          <w:sz w:val="22"/>
        </w:rPr>
        <w:t>., ...</w:t>
      </w:r>
      <w:proofErr w:type="gramEnd"/>
      <w:r>
        <w:rPr>
          <w:sz w:val="22"/>
        </w:rPr>
        <w:t xml:space="preserve"> &amp; </w:t>
      </w:r>
      <w:proofErr w:type="spellStart"/>
      <w:r>
        <w:rPr>
          <w:sz w:val="22"/>
        </w:rPr>
        <w:t>Weng</w:t>
      </w:r>
      <w:proofErr w:type="spellEnd"/>
      <w:r>
        <w:rPr>
          <w:sz w:val="22"/>
        </w:rPr>
        <w:t>, Z. (2013). Factorbook.org: a Wiki-based database for transcription factor-binding data generated by the ENCODE Consortium. Nucleic Acids Research, 41(D1), D171–D176. https://doi.org/10.1093/nar/gks1221</w:t>
      </w:r>
    </w:p>
    <w:p w:rsidR="000E6725" w:rsidRDefault="004B7759">
      <w:pPr>
        <w:spacing w:after="100"/>
        <w:ind w:left="720" w:hanging="720"/>
      </w:pPr>
      <w:r>
        <w:rPr>
          <w:sz w:val="22"/>
        </w:rPr>
        <w:lastRenderedPageBreak/>
        <w:t xml:space="preserve">Whyte, W. A., Orlando, D. A., </w:t>
      </w:r>
      <w:proofErr w:type="spellStart"/>
      <w:r>
        <w:rPr>
          <w:sz w:val="22"/>
        </w:rPr>
        <w:t>Hnisz</w:t>
      </w:r>
      <w:proofErr w:type="spellEnd"/>
      <w:r>
        <w:rPr>
          <w:sz w:val="22"/>
        </w:rPr>
        <w:t xml:space="preserve">, D., Abraham, B. J., Lin, C. Y., </w:t>
      </w:r>
      <w:proofErr w:type="spellStart"/>
      <w:r>
        <w:rPr>
          <w:sz w:val="22"/>
        </w:rPr>
        <w:t>Kagey</w:t>
      </w:r>
      <w:proofErr w:type="spellEnd"/>
      <w:r>
        <w:rPr>
          <w:sz w:val="22"/>
        </w:rPr>
        <w:t>, M. H., ... &amp; Young, R. A. (2013). Master transcription factors and mediator establish super-enhancers at key cell identity genes. Cell, 153(2), 307–319. https://doi.org/10.1016/j.cell.2013.03.035</w:t>
      </w:r>
    </w:p>
    <w:p w:rsidR="000E6725" w:rsidRDefault="004B7759">
      <w:pPr>
        <w:spacing w:after="100"/>
        <w:ind w:left="720" w:hanging="720"/>
      </w:pPr>
      <w:r>
        <w:rPr>
          <w:sz w:val="22"/>
        </w:rPr>
        <w:t xml:space="preserve">Wolf, F. A., </w:t>
      </w:r>
      <w:proofErr w:type="spellStart"/>
      <w:r>
        <w:rPr>
          <w:sz w:val="22"/>
        </w:rPr>
        <w:t>Angerer</w:t>
      </w:r>
      <w:proofErr w:type="spellEnd"/>
      <w:r>
        <w:rPr>
          <w:sz w:val="22"/>
        </w:rPr>
        <w:t xml:space="preserve">, P., &amp; </w:t>
      </w:r>
      <w:proofErr w:type="spellStart"/>
      <w:r>
        <w:rPr>
          <w:sz w:val="22"/>
        </w:rPr>
        <w:t>Theis</w:t>
      </w:r>
      <w:proofErr w:type="spellEnd"/>
      <w:r>
        <w:rPr>
          <w:sz w:val="22"/>
        </w:rPr>
        <w:t xml:space="preserve">, F. J. (2018). SCANPY: large-scale single-cell </w:t>
      </w:r>
      <w:proofErr w:type="gramStart"/>
      <w:r>
        <w:rPr>
          <w:sz w:val="22"/>
        </w:rPr>
        <w:t>gene expression data analysis</w:t>
      </w:r>
      <w:proofErr w:type="gramEnd"/>
      <w:r>
        <w:rPr>
          <w:sz w:val="22"/>
        </w:rPr>
        <w:t>. Genome Biology, 19(1), 15. https://doi.org/10.1186/s13059-017-1382-0</w:t>
      </w:r>
    </w:p>
    <w:p w:rsidR="000E6725" w:rsidRDefault="004B7759">
      <w:pPr>
        <w:spacing w:after="100"/>
        <w:ind w:left="720" w:hanging="720"/>
      </w:pPr>
      <w:proofErr w:type="spellStart"/>
      <w:r>
        <w:rPr>
          <w:sz w:val="22"/>
        </w:rPr>
        <w:t>Zagami</w:t>
      </w:r>
      <w:proofErr w:type="spellEnd"/>
      <w:r>
        <w:rPr>
          <w:sz w:val="22"/>
        </w:rPr>
        <w:t xml:space="preserve">, P., &amp; Carey, L. A. (2022). Triple negative breast cancer: Pitfalls and progress. </w:t>
      </w:r>
      <w:proofErr w:type="spellStart"/>
      <w:proofErr w:type="gramStart"/>
      <w:r>
        <w:rPr>
          <w:sz w:val="22"/>
        </w:rPr>
        <w:t>npj</w:t>
      </w:r>
      <w:proofErr w:type="spellEnd"/>
      <w:proofErr w:type="gramEnd"/>
      <w:r>
        <w:rPr>
          <w:sz w:val="22"/>
        </w:rPr>
        <w:t xml:space="preserve"> Breast Cancer, 8(1), 95. https://doi.org/10.1038/s41523-022-00468-0</w:t>
      </w:r>
    </w:p>
    <w:p w:rsidR="000E6725" w:rsidRDefault="004B7759">
      <w:pPr>
        <w:spacing w:after="100"/>
        <w:ind w:left="720" w:hanging="720"/>
      </w:pPr>
      <w:r>
        <w:rPr>
          <w:sz w:val="22"/>
        </w:rPr>
        <w:t xml:space="preserve">Zhao, X., Li, J., Liu, Z., &amp; Powers, S. (2021). Combinatorial CRISPR/Cas9 screening reveals </w:t>
      </w:r>
      <w:proofErr w:type="spellStart"/>
      <w:r>
        <w:rPr>
          <w:sz w:val="22"/>
        </w:rPr>
        <w:t>epistatic</w:t>
      </w:r>
      <w:proofErr w:type="spellEnd"/>
      <w:r>
        <w:rPr>
          <w:sz w:val="22"/>
        </w:rPr>
        <w:t xml:space="preserve"> networks of interacting tumor suppressor genes and therapeutic targets in human breast cancer. Cancer Research, 81(18), 4782–4794. https://doi.org/</w:t>
      </w:r>
      <w:r w:rsidR="00AF7AA6" w:rsidRPr="00AF7AA6">
        <w:t xml:space="preserve"> </w:t>
      </w:r>
      <w:r w:rsidR="00AF7AA6" w:rsidRPr="00AF7AA6">
        <w:rPr>
          <w:sz w:val="22"/>
        </w:rPr>
        <w:t>10.1158/0008-5472.CAN-21-2555</w:t>
      </w:r>
    </w:p>
    <w:p w:rsidR="000E6725" w:rsidRDefault="004B7759">
      <w:pPr>
        <w:spacing w:after="100"/>
        <w:ind w:left="720" w:hanging="720"/>
      </w:pPr>
      <w:r>
        <w:rPr>
          <w:sz w:val="22"/>
        </w:rPr>
        <w:t xml:space="preserve">Zheng, X., </w:t>
      </w:r>
      <w:proofErr w:type="spellStart"/>
      <w:r>
        <w:rPr>
          <w:sz w:val="22"/>
        </w:rPr>
        <w:t>Aragam</w:t>
      </w:r>
      <w:proofErr w:type="spellEnd"/>
      <w:r>
        <w:rPr>
          <w:sz w:val="22"/>
        </w:rPr>
        <w:t xml:space="preserve">, B., </w:t>
      </w:r>
      <w:proofErr w:type="spellStart"/>
      <w:r>
        <w:rPr>
          <w:sz w:val="22"/>
        </w:rPr>
        <w:t>Ravikumar</w:t>
      </w:r>
      <w:proofErr w:type="spellEnd"/>
      <w:r>
        <w:rPr>
          <w:sz w:val="22"/>
        </w:rPr>
        <w:t>, P. K., &amp; Xing, E. P. (2018). DAGs with NO TEARS: Continuous optimization for structure learning. Advances in Neural Information Processing Systems (</w:t>
      </w:r>
      <w:proofErr w:type="spellStart"/>
      <w:r>
        <w:rPr>
          <w:sz w:val="22"/>
        </w:rPr>
        <w:t>NeurIPS</w:t>
      </w:r>
      <w:proofErr w:type="spellEnd"/>
      <w:r>
        <w:rPr>
          <w:sz w:val="22"/>
        </w:rPr>
        <w:t xml:space="preserve"> 2018), 31, 9472–9483.</w:t>
      </w:r>
    </w:p>
    <w:sectPr w:rsidR="000E6725" w:rsidSect="00034616">
      <w:pgSz w:w="12240" w:h="15840"/>
      <w:pgMar w:top="1440" w:right="1440" w:bottom="1440" w:left="1440" w:header="720" w:footer="720" w:gutter="0"/>
      <w:lnNumType w:countBy="1" w:restart="continuous"/>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roman"/>
    <w:notTrueType/>
    <w:pitch w:val="fixed"/>
    <w:sig w:usb0="00000001" w:usb1="08070000" w:usb2="00000010" w:usb3="00000000" w:csb0="00020000" w:csb1="00000000"/>
  </w:font>
  <w:font w:name="Calibri">
    <w:panose1 w:val="020F0502020204030204"/>
    <w:charset w:val="00"/>
    <w:family w:val="swiss"/>
    <w:pitch w:val="variable"/>
    <w:sig w:usb0="E4002EFF" w:usb1="C0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ambria Math">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90"/>
  <w:proofState w:spelling="clean" w:grammar="clean"/>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B47730"/>
    <w:rsid w:val="00022F84"/>
    <w:rsid w:val="000336E6"/>
    <w:rsid w:val="00034616"/>
    <w:rsid w:val="0006063C"/>
    <w:rsid w:val="000E6725"/>
    <w:rsid w:val="0015074B"/>
    <w:rsid w:val="001A245F"/>
    <w:rsid w:val="00270362"/>
    <w:rsid w:val="0029639D"/>
    <w:rsid w:val="002A17DD"/>
    <w:rsid w:val="00326F90"/>
    <w:rsid w:val="00352B2D"/>
    <w:rsid w:val="004B59E9"/>
    <w:rsid w:val="004B7759"/>
    <w:rsid w:val="004C0054"/>
    <w:rsid w:val="004F7BCD"/>
    <w:rsid w:val="0052340F"/>
    <w:rsid w:val="0064170E"/>
    <w:rsid w:val="00804DA4"/>
    <w:rsid w:val="009B51E6"/>
    <w:rsid w:val="009B7AC0"/>
    <w:rsid w:val="00A10DB9"/>
    <w:rsid w:val="00A75222"/>
    <w:rsid w:val="00AA1D8D"/>
    <w:rsid w:val="00AF7AA6"/>
    <w:rsid w:val="00B20635"/>
    <w:rsid w:val="00B47730"/>
    <w:rsid w:val="00BC6625"/>
    <w:rsid w:val="00BF27D0"/>
    <w:rsid w:val="00C5588B"/>
    <w:rsid w:val="00CB0664"/>
    <w:rsid w:val="00D15917"/>
    <w:rsid w:val="00D20A03"/>
    <w:rsid w:val="00DC302D"/>
    <w:rsid w:val="00E01D76"/>
    <w:rsid w:val="00E205C5"/>
    <w:rsid w:val="00E25AC2"/>
    <w:rsid w:val="00E92C21"/>
    <w:rsid w:val="00F46003"/>
    <w:rsid w:val="00F93B6F"/>
    <w:rsid w:val="00FA1697"/>
    <w:rsid w:val="00FC0FD0"/>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369CF981"/>
  <w14:defaultImageDpi w14:val="300"/>
  <w15:docId w15:val="{FA858AA7-405D-4C22-81D0-5A09FE82FDA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FC693F"/>
    <w:pPr>
      <w:spacing w:after="120"/>
      <w:jc w:val="both"/>
    </w:pPr>
    <w:rPr>
      <w:rFonts w:ascii="Times New Roman" w:hAnsi="Times New Roman"/>
      <w:color w:val="000000"/>
      <w:sz w:val="24"/>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styleId="PlaceholderText">
    <w:name w:val="Placeholder Text"/>
    <w:basedOn w:val="DefaultParagraphFont"/>
    <w:uiPriority w:val="99"/>
    <w:semiHidden/>
    <w:rsid w:val="00A10DB9"/>
    <w:rPr>
      <w:color w:val="808080"/>
    </w:rPr>
  </w:style>
  <w:style w:type="table" w:styleId="PlainTable2">
    <w:name w:val="Plain Table 2"/>
    <w:basedOn w:val="TableNormal"/>
    <w:uiPriority w:val="99"/>
    <w:rsid w:val="000336E6"/>
    <w:pPr>
      <w:spacing w:after="0" w:line="240" w:lineRule="auto"/>
    </w:pPr>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character" w:styleId="LineNumber">
    <w:name w:val="line number"/>
    <w:basedOn w:val="DefaultParagraphFont"/>
    <w:uiPriority w:val="99"/>
    <w:semiHidden/>
    <w:unhideWhenUsed/>
    <w:rsid w:val="00FA1697"/>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609821341">
      <w:bodyDiv w:val="1"/>
      <w:marLeft w:val="0"/>
      <w:marRight w:val="0"/>
      <w:marTop w:val="0"/>
      <w:marBottom w:val="0"/>
      <w:divBdr>
        <w:top w:val="none" w:sz="0" w:space="0" w:color="auto"/>
        <w:left w:val="none" w:sz="0" w:space="0" w:color="auto"/>
        <w:bottom w:val="none" w:sz="0" w:space="0" w:color="auto"/>
        <w:right w:val="none" w:sz="0" w:space="0" w:color="auto"/>
      </w:divBdr>
    </w:div>
    <w:div w:id="1224877379">
      <w:bodyDiv w:val="1"/>
      <w:marLeft w:val="0"/>
      <w:marRight w:val="0"/>
      <w:marTop w:val="0"/>
      <w:marBottom w:val="0"/>
      <w:divBdr>
        <w:top w:val="none" w:sz="0" w:space="0" w:color="auto"/>
        <w:left w:val="none" w:sz="0" w:space="0" w:color="auto"/>
        <w:bottom w:val="none" w:sz="0" w:space="0" w:color="auto"/>
        <w:right w:val="none" w:sz="0" w:space="0" w:color="auto"/>
      </w:divBdr>
    </w:div>
    <w:div w:id="1475366865">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image" Target="media/image8.png"/><Relationship Id="rId3" Type="http://schemas.openxmlformats.org/officeDocument/2006/relationships/styles" Target="styles.xml"/><Relationship Id="rId7" Type="http://schemas.openxmlformats.org/officeDocument/2006/relationships/image" Target="media/image2.png"/><Relationship Id="rId12" Type="http://schemas.openxmlformats.org/officeDocument/2006/relationships/image" Target="media/image7.png"/><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image" Target="media/image6.png"/><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image" Target="media/image5.png"/><Relationship Id="rId4" Type="http://schemas.openxmlformats.org/officeDocument/2006/relationships/settings" Target="settings.xml"/><Relationship Id="rId9" Type="http://schemas.openxmlformats.org/officeDocument/2006/relationships/image" Target="media/image4.png"/><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D22E4992-DC99-4526-B824-5384DBBC61C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160</TotalTime>
  <Pages>30</Pages>
  <Words>11568</Words>
  <Characters>65942</Characters>
  <Application>Microsoft Office Word</Application>
  <DocSecurity>0</DocSecurity>
  <Lines>549</Lines>
  <Paragraphs>154</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77356</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M R Computer</cp:lastModifiedBy>
  <cp:revision>33</cp:revision>
  <dcterms:created xsi:type="dcterms:W3CDTF">2013-12-23T23:15:00Z</dcterms:created>
  <dcterms:modified xsi:type="dcterms:W3CDTF">2026-10-29T18:57:00Z</dcterms:modified>
  <cp:category/>
</cp:coreProperties>
</file>