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51A" w:rsidRDefault="00EC2230">
      <w:pPr>
        <w:spacing w:before="200" w:after="120"/>
        <w:jc w:val="center"/>
      </w:pPr>
      <w:r>
        <w:rPr>
          <w:rFonts w:ascii="Times New Roman" w:hAnsi="Times New Roman"/>
          <w:b/>
          <w:color w:val="000000"/>
          <w:sz w:val="36"/>
        </w:rPr>
        <w:t>Supplementary Information</w:t>
      </w:r>
    </w:p>
    <w:p w:rsidR="00FF351A" w:rsidRDefault="00EC2230">
      <w:pPr>
        <w:spacing w:after="240"/>
        <w:jc w:val="center"/>
      </w:pPr>
      <w:r>
        <w:rPr>
          <w:rFonts w:ascii="Times New Roman" w:hAnsi="Times New Roman"/>
          <w:b/>
        </w:rPr>
        <w:t>Integrating CRISPRi Perturbation Responses and Transcription-Factor Binding Priors for Regulatory Network Inference in Triple-Negative Breast Cancer</w:t>
      </w:r>
    </w:p>
    <w:p w:rsidR="00FF351A" w:rsidRDefault="00EC2230">
      <w:pPr>
        <w:spacing w:after="120"/>
        <w:jc w:val="center"/>
      </w:pPr>
      <w:r>
        <w:rPr>
          <w:rFonts w:ascii="Times New Roman" w:hAnsi="Times New Roman"/>
          <w:color w:val="000000"/>
        </w:rPr>
        <w:t xml:space="preserve">Omar Faroque¹, Mst. Homayra Jannaty¹, Shahriar Ahmed Abir², Suman </w:t>
      </w:r>
      <w:r>
        <w:rPr>
          <w:rFonts w:ascii="Times New Roman" w:hAnsi="Times New Roman"/>
          <w:color w:val="000000"/>
        </w:rPr>
        <w:t>Biswas¹*</w:t>
      </w:r>
    </w:p>
    <w:p w:rsidR="00FF351A" w:rsidRDefault="00EC2230">
      <w:pPr>
        <w:spacing w:after="320"/>
        <w:jc w:val="center"/>
      </w:pPr>
      <w:r>
        <w:rPr>
          <w:rFonts w:ascii="Times New Roman" w:hAnsi="Times New Roman"/>
          <w:i/>
          <w:color w:val="000000"/>
          <w:sz w:val="19"/>
        </w:rPr>
        <w:t>¹ Department of Statistics, Faculty of Sciences, Islamic University, Kushtia-7003, Bangladesh</w:t>
      </w:r>
      <w:r>
        <w:rPr>
          <w:rFonts w:ascii="Times New Roman" w:hAnsi="Times New Roman"/>
          <w:i/>
          <w:color w:val="000000"/>
          <w:sz w:val="19"/>
        </w:rPr>
        <w:br/>
        <w:t>² Department of Biotechnology and Genetic Engineering, Faculty of Biological Sciences, Islamic University, Kushtia-7003, Bangladesh</w:t>
      </w:r>
      <w:r>
        <w:rPr>
          <w:rFonts w:ascii="Times New Roman" w:hAnsi="Times New Roman"/>
          <w:i/>
          <w:color w:val="000000"/>
          <w:sz w:val="19"/>
        </w:rPr>
        <w:br/>
        <w:t>* Corresponding Autho</w:t>
      </w:r>
      <w:r>
        <w:rPr>
          <w:rFonts w:ascii="Times New Roman" w:hAnsi="Times New Roman"/>
          <w:i/>
          <w:color w:val="000000"/>
          <w:sz w:val="19"/>
        </w:rPr>
        <w:t>r: suman@stat.iu.ac.bd</w:t>
      </w:r>
    </w:p>
    <w:p w:rsidR="00FF351A" w:rsidRDefault="00EC2230">
      <w:pPr>
        <w:spacing w:before="240" w:after="120"/>
        <w:jc w:val="both"/>
      </w:pPr>
      <w:r>
        <w:rPr>
          <w:rFonts w:ascii="Times New Roman" w:hAnsi="Times New Roman"/>
          <w:b/>
          <w:color w:val="000000"/>
          <w:sz w:val="24"/>
        </w:rPr>
        <w:t>Table of Contents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Note 1: Mathematical Foundations of Causal Triangulation &amp; Composite Scoring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Note 2: Directed Acyclic Graph (DAG) Identifiability &amp; Pearl's Do-Calculus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Note 3: Fast Ve</w:t>
      </w:r>
      <w:r>
        <w:rPr>
          <w:rFonts w:ascii="Times New Roman" w:hAnsi="Times New Roman"/>
          <w:color w:val="000000"/>
          <w:sz w:val="21"/>
        </w:rPr>
        <w:t>ctorized Two-Sample Welch t-Test for Genome-Scale Perturb-seq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Note 4: Directed Multigraph Topology &amp; Google PageRank Prioritization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Note 5: Explainable AI (SHAP TreeExplainer) &amp; In Silico Driver Knockout Validation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</w:t>
      </w:r>
      <w:r>
        <w:rPr>
          <w:rFonts w:ascii="Times New Roman" w:hAnsi="Times New Roman"/>
          <w:color w:val="000000"/>
          <w:sz w:val="21"/>
        </w:rPr>
        <w:t>entary Note 6: Biochemical Mechanism of Synergistic Epigenetic Combination Therapies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1"/>
        </w:rPr>
        <w:t>• Guide to Supplementary Data, Tables, and Interactive Displays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Tables S1–S8 (Complete Embedded Tables)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References</w:t>
      </w:r>
    </w:p>
    <w:p w:rsidR="00FF351A" w:rsidRDefault="00EC2230">
      <w:r>
        <w:br w:type="page"/>
      </w:r>
    </w:p>
    <w:p w:rsidR="00FF351A" w:rsidRDefault="00EC2230">
      <w:pPr>
        <w:spacing w:before="240" w:after="8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Supplementary Note 1: Mathematical Foundations of Causal Triangulation &amp; Composite Scoring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In observational single-cell RNA sequencing, technical dropouts (excess zero counts) induce spurious conditional depend</w:t>
      </w:r>
      <w:r>
        <w:rPr>
          <w:rFonts w:ascii="Times New Roman" w:hAnsi="Times New Roman"/>
          <w:color w:val="000000"/>
        </w:rPr>
        <w:t>encies between independent genes, producing high false discovery rates (&gt;35–45%) when applying standard relevance networks, Gaussian graphical models, or observational tree ensembles (GENIE3, GRNBoost2). To overcome this observational confounding, we formu</w:t>
      </w:r>
      <w:r>
        <w:rPr>
          <w:rFonts w:ascii="Times New Roman" w:hAnsi="Times New Roman"/>
          <w:color w:val="000000"/>
        </w:rPr>
        <w:t xml:space="preserve">late a tripartite causal triangulation framework that unites physical chromatin-binding priors from ENCODE ChIP-seq with functional interventional evidence from single-cell </w:t>
      </w:r>
      <w:proofErr w:type="spellStart"/>
      <w:r>
        <w:rPr>
          <w:rFonts w:ascii="Times New Roman" w:hAnsi="Times New Roman"/>
          <w:color w:val="000000"/>
        </w:rPr>
        <w:t>CRISPRi</w:t>
      </w:r>
      <w:proofErr w:type="spellEnd"/>
      <w:r>
        <w:rPr>
          <w:rFonts w:ascii="Times New Roman" w:hAnsi="Times New Roman"/>
          <w:color w:val="000000"/>
        </w:rPr>
        <w:t>.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color w:val="000000"/>
        </w:rPr>
        <w:br/>
        <w:t>Let i denote a candidate transcription factor, e denote an accessible enh</w:t>
      </w:r>
      <w:r>
        <w:rPr>
          <w:rFonts w:ascii="Times New Roman" w:hAnsi="Times New Roman"/>
          <w:color w:val="000000"/>
        </w:rPr>
        <w:t>ancer locus, and j denote a downstream target gene. The triangulated causal regulatory weight W_</w:t>
      </w:r>
      <w:proofErr w:type="gramStart"/>
      <w:r>
        <w:rPr>
          <w:rFonts w:ascii="Times New Roman" w:hAnsi="Times New Roman"/>
          <w:color w:val="000000"/>
        </w:rPr>
        <w:t>causal(</w:t>
      </w:r>
      <w:proofErr w:type="gramEnd"/>
      <w:r>
        <w:rPr>
          <w:rFonts w:ascii="Times New Roman" w:hAnsi="Times New Roman"/>
          <w:color w:val="000000"/>
        </w:rPr>
        <w:t>i → e → j) is formulated as the composite product of physical binding confidence and functional perturbation responsiveness: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color w:val="000000"/>
        </w:rPr>
        <w:br/>
        <w:t xml:space="preserve">        W_causal(i → e → j)</w:t>
      </w:r>
      <w:r>
        <w:rPr>
          <w:rFonts w:ascii="Times New Roman" w:hAnsi="Times New Roman"/>
          <w:color w:val="000000"/>
        </w:rPr>
        <w:t xml:space="preserve"> = C_ChIP(i, e) × |log2 FC(e, j)| × |t(e, j)|</w:t>
      </w:r>
    </w:p>
    <w:p w:rsidR="00FF351A" w:rsidRDefault="00EC2230">
      <w:pPr>
        <w:spacing w:before="40" w:after="160"/>
        <w:jc w:val="both"/>
      </w:pPr>
      <w:bookmarkStart w:id="0" w:name="_GoBack"/>
      <w:bookmarkEnd w:id="0"/>
      <w:r>
        <w:rPr>
          <w:rFonts w:ascii="Times New Roman" w:hAnsi="Times New Roman"/>
          <w:color w:val="000000"/>
        </w:rPr>
        <w:br/>
      </w:r>
      <w:proofErr w:type="gramStart"/>
      <w:r>
        <w:rPr>
          <w:rFonts w:ascii="Times New Roman" w:hAnsi="Times New Roman"/>
          <w:color w:val="000000"/>
        </w:rPr>
        <w:t>where</w:t>
      </w:r>
      <w:proofErr w:type="gramEnd"/>
      <w:r>
        <w:rPr>
          <w:rFonts w:ascii="Times New Roman" w:hAnsi="Times New Roman"/>
          <w:color w:val="000000"/>
        </w:rPr>
        <w:t xml:space="preserve"> C_ChIP(i, e) represents the peak binding confidence score from ENCODE Factorbook/UCSC clusters normalized to [0, 1000]; log2 FC(e, j) is the interventional expression shift following CRISPRi enhancer sil</w:t>
      </w:r>
      <w:r>
        <w:rPr>
          <w:rFonts w:ascii="Times New Roman" w:hAnsi="Times New Roman"/>
          <w:color w:val="000000"/>
        </w:rPr>
        <w:t>encing; and t(e, j) is the Welch t-statistic measuring perturbation significance against non-targeting control (NTC) sgRNAs. Multiplying |log2 FC| by |t| quadratically rewards effect size while inversely weighting by measurement variance, ensuring that hig</w:t>
      </w:r>
      <w:r>
        <w:rPr>
          <w:rFonts w:ascii="Times New Roman" w:hAnsi="Times New Roman"/>
          <w:color w:val="000000"/>
        </w:rPr>
        <w:t>h-weight edges possess both large biological fold change and high statistical precision.</w:t>
      </w:r>
    </w:p>
    <w:p w:rsidR="00FF351A" w:rsidRDefault="00EC2230">
      <w:pPr>
        <w:spacing w:before="240" w:after="80"/>
        <w:jc w:val="both"/>
      </w:pPr>
      <w:r>
        <w:rPr>
          <w:rFonts w:ascii="Times New Roman" w:hAnsi="Times New Roman"/>
          <w:b/>
          <w:color w:val="000000"/>
          <w:sz w:val="24"/>
        </w:rPr>
        <w:t>Supplementary Note 2: Directed Acyclic Graph (DAG) Identifiability &amp; Pearl's Do-Calculus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Traditional observational GRN algorithms can only identify graphs up to their </w:t>
      </w:r>
      <w:r>
        <w:rPr>
          <w:rFonts w:ascii="Times New Roman" w:hAnsi="Times New Roman"/>
          <w:color w:val="000000"/>
        </w:rPr>
        <w:t>Markov Equivalence Class (represented as Completed Partially Directed Acyclic Graphs, CPDAGs), leaving edge directions reversible in v-structures without randomized interventions. Under Judea Pearl’s structural causal model (SCM) framework, experimental CR</w:t>
      </w:r>
      <w:r>
        <w:rPr>
          <w:rFonts w:ascii="Times New Roman" w:hAnsi="Times New Roman"/>
          <w:color w:val="000000"/>
        </w:rPr>
        <w:t>ISPRi perturbations act as exogenous, randomized atomic interventions: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color w:val="000000"/>
        </w:rPr>
        <w:br/>
        <w:t xml:space="preserve">        </w:t>
      </w:r>
      <w:proofErr w:type="gramStart"/>
      <w:r>
        <w:rPr>
          <w:rFonts w:ascii="Times New Roman" w:hAnsi="Times New Roman"/>
          <w:color w:val="000000"/>
        </w:rPr>
        <w:t>P(</w:t>
      </w:r>
      <w:proofErr w:type="gramEnd"/>
      <w:r>
        <w:rPr>
          <w:rFonts w:ascii="Times New Roman" w:hAnsi="Times New Roman"/>
          <w:color w:val="000000"/>
        </w:rPr>
        <w:t>Y_j | do(E_e = 0)) ≠ P(Y_j | E_e = 0)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  <w:t>Because the guide RNA targets enhancer locus e independently of all endogenous cellular confounding (cell cycle, batch effects, transcr</w:t>
      </w:r>
      <w:r>
        <w:rPr>
          <w:rFonts w:ascii="Times New Roman" w:hAnsi="Times New Roman"/>
          <w:color w:val="000000"/>
        </w:rPr>
        <w:t>iptional bursting), the perturbation breaks all incoming back-door paths to e. Consequently, any statistically significant shift in gene j must be downstream of e, unambiguously establishing the directed functional edge e → j.</w:t>
      </w:r>
    </w:p>
    <w:p w:rsidR="00FF351A" w:rsidRDefault="00EC2230">
      <w:pPr>
        <w:spacing w:before="40" w:after="160"/>
        <w:jc w:val="both"/>
      </w:pPr>
      <w:r>
        <w:rPr>
          <w:rFonts w:ascii="Times New Roman" w:hAnsi="Times New Roman"/>
          <w:color w:val="000000"/>
        </w:rPr>
        <w:br/>
      </w:r>
      <w:proofErr w:type="gramStart"/>
      <w:r>
        <w:rPr>
          <w:rFonts w:ascii="Times New Roman" w:hAnsi="Times New Roman"/>
          <w:color w:val="000000"/>
        </w:rPr>
        <w:t>Importantly, a rigorous theo</w:t>
      </w:r>
      <w:r>
        <w:rPr>
          <w:rFonts w:ascii="Times New Roman" w:hAnsi="Times New Roman"/>
          <w:color w:val="000000"/>
        </w:rPr>
        <w:t>retical distinction must be acknowledged: while the functional regulatory arm (e → j) is strictly identified through randomized experimental intervention (do(e = 0)), the upstream physical binding arm (i → e) represents an observational chromatin occupancy</w:t>
      </w:r>
      <w:r>
        <w:rPr>
          <w:rFonts w:ascii="Times New Roman" w:hAnsi="Times New Roman"/>
          <w:color w:val="000000"/>
        </w:rPr>
        <w:t xml:space="preserve"> prior derived from ChIP-</w:t>
      </w:r>
      <w:r>
        <w:rPr>
          <w:rFonts w:ascii="Times New Roman" w:hAnsi="Times New Roman"/>
          <w:color w:val="000000"/>
        </w:rPr>
        <w:lastRenderedPageBreak/>
        <w:t>seq. Triangulation integrates these distinct evidentiary streams by prioritizing cascades that are simultaneously physically plausible and functionally responsive under intervention, establishing defensible directed regulatory flow</w:t>
      </w:r>
      <w:r>
        <w:rPr>
          <w:rFonts w:ascii="Times New Roman" w:hAnsi="Times New Roman"/>
          <w:color w:val="000000"/>
        </w:rPr>
        <w:t xml:space="preserve"> without claiming direct genetic perturbation of the upstream transcription factor coding genes themselves.</w:t>
      </w:r>
      <w:proofErr w:type="gramEnd"/>
    </w:p>
    <w:p w:rsidR="00FF351A" w:rsidRDefault="00EC2230">
      <w:pPr>
        <w:spacing w:before="240" w:after="80"/>
        <w:jc w:val="both"/>
      </w:pPr>
      <w:r>
        <w:rPr>
          <w:rFonts w:ascii="Times New Roman" w:hAnsi="Times New Roman"/>
          <w:b/>
          <w:color w:val="000000"/>
          <w:sz w:val="24"/>
        </w:rPr>
        <w:t>Supplementary Note 3: Fast Vectorized Two-Sample Welch t-Test for Genome-Scale Perturb-seq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Evaluating 11,975 individual sgRNA guides across 95,678 </w:t>
      </w:r>
      <w:r>
        <w:rPr>
          <w:rFonts w:ascii="Times New Roman" w:hAnsi="Times New Roman"/>
          <w:color w:val="000000"/>
        </w:rPr>
        <w:t xml:space="preserve">single cells and 32,799 gene features requires computing millions of hypothesis tests. To avoid computationally prohibitive nested loops, we implemented a </w:t>
      </w:r>
      <w:proofErr w:type="spellStart"/>
      <w:r>
        <w:rPr>
          <w:rFonts w:ascii="Times New Roman" w:hAnsi="Times New Roman"/>
          <w:color w:val="000000"/>
        </w:rPr>
        <w:t>vectorized</w:t>
      </w:r>
      <w:proofErr w:type="spellEnd"/>
      <w:r>
        <w:rPr>
          <w:rFonts w:ascii="Times New Roman" w:hAnsi="Times New Roman"/>
          <w:color w:val="000000"/>
        </w:rPr>
        <w:t xml:space="preserve"> two-sample Welch t-test: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  <w:t xml:space="preserve">        t = (X̄_1 - X̄_0) / </w:t>
      </w:r>
      <w:proofErr w:type="gramStart"/>
      <w:r>
        <w:rPr>
          <w:rFonts w:ascii="Times New Roman" w:hAnsi="Times New Roman"/>
          <w:color w:val="000000"/>
        </w:rPr>
        <w:t>√(</w:t>
      </w:r>
      <w:proofErr w:type="gramEnd"/>
      <w:r>
        <w:rPr>
          <w:rFonts w:ascii="Times New Roman" w:hAnsi="Times New Roman"/>
          <w:color w:val="000000"/>
        </w:rPr>
        <w:t xml:space="preserve"> (s_1² / n_1) + (s_0² / n_0) )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  <w:t>Th</w:t>
      </w:r>
      <w:r>
        <w:rPr>
          <w:rFonts w:ascii="Times New Roman" w:hAnsi="Times New Roman"/>
          <w:color w:val="000000"/>
        </w:rPr>
        <w:t xml:space="preserve">e effective degrees of freedom (ν) </w:t>
      </w:r>
      <w:proofErr w:type="gramStart"/>
      <w:r>
        <w:rPr>
          <w:rFonts w:ascii="Times New Roman" w:hAnsi="Times New Roman"/>
          <w:color w:val="000000"/>
        </w:rPr>
        <w:t>are computed</w:t>
      </w:r>
      <w:proofErr w:type="gramEnd"/>
      <w:r>
        <w:rPr>
          <w:rFonts w:ascii="Times New Roman" w:hAnsi="Times New Roman"/>
          <w:color w:val="000000"/>
        </w:rPr>
        <w:t xml:space="preserve"> via the Welch-Satterthwaite equation: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  <w:t xml:space="preserve">        </w:t>
      </w:r>
      <w:proofErr w:type="gramStart"/>
      <w:r>
        <w:rPr>
          <w:rFonts w:ascii="Times New Roman" w:hAnsi="Times New Roman"/>
          <w:color w:val="000000"/>
        </w:rPr>
        <w:t>ν</w:t>
      </w:r>
      <w:proofErr w:type="gramEnd"/>
      <w:r>
        <w:rPr>
          <w:rFonts w:ascii="Times New Roman" w:hAnsi="Times New Roman"/>
          <w:color w:val="000000"/>
        </w:rPr>
        <w:t xml:space="preserve"> ≈ [ (s_1² / n_1) + (s_0² / n_0) ]² / [ (s_1² / n_1)² / (n_1 - 1) + (s_0² / n_0)² / (n_0 - 1) ]</w:t>
      </w:r>
    </w:p>
    <w:p w:rsidR="00FF351A" w:rsidRDefault="00EC2230">
      <w:pPr>
        <w:spacing w:before="40" w:after="160"/>
        <w:jc w:val="both"/>
      </w:pPr>
      <w:r>
        <w:rPr>
          <w:rFonts w:ascii="Times New Roman" w:hAnsi="Times New Roman"/>
          <w:color w:val="000000"/>
        </w:rPr>
        <w:br/>
        <w:t>To eliminate confounding from combinatorial epistatic interacti</w:t>
      </w:r>
      <w:r>
        <w:rPr>
          <w:rFonts w:ascii="Times New Roman" w:hAnsi="Times New Roman"/>
          <w:color w:val="000000"/>
        </w:rPr>
        <w:t>ons between co-expressed guides, the differential perturbation analysis was computed strictly using the single-guide cohort (n = 3,930 cells) contrasted against the unassigned negative control pool (n = 7,767 cells). Significant interventional responses we</w:t>
      </w:r>
      <w:r>
        <w:rPr>
          <w:rFonts w:ascii="Times New Roman" w:hAnsi="Times New Roman"/>
          <w:color w:val="000000"/>
        </w:rPr>
        <w:t>re defined under stringent dual thresholds: |log2 FC| ≥ 0.25 and |t| ≥ 2.5 (corresponding to two-sided p &lt; 0.012).</w:t>
      </w:r>
    </w:p>
    <w:p w:rsidR="00FF351A" w:rsidRDefault="00EC2230">
      <w:pPr>
        <w:spacing w:before="240" w:after="80"/>
        <w:jc w:val="both"/>
      </w:pPr>
      <w:r>
        <w:rPr>
          <w:rFonts w:ascii="Times New Roman" w:hAnsi="Times New Roman"/>
          <w:b/>
          <w:color w:val="000000"/>
          <w:sz w:val="24"/>
        </w:rPr>
        <w:t>Supplementary Note 4: Directed Multigraph Topology &amp; Google PageRank Prioritization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To identify which transcription factors exert master regu</w:t>
      </w:r>
      <w:r>
        <w:rPr>
          <w:rFonts w:ascii="Times New Roman" w:hAnsi="Times New Roman"/>
          <w:color w:val="000000"/>
        </w:rPr>
        <w:t xml:space="preserve">latory control over the global network architecture, we mapped the triangulated causal edges into a directed weighted multigraph G = (V, E, W). We implemented Google PageRank with a damping factor α = 0.85 and maximum 500 iterations (convergence tolerance </w:t>
      </w:r>
      <w:r>
        <w:rPr>
          <w:rFonts w:ascii="Times New Roman" w:hAnsi="Times New Roman"/>
          <w:color w:val="000000"/>
        </w:rPr>
        <w:t>1 × 10⁻⁶):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  <w:t xml:space="preserve">        </w:t>
      </w:r>
      <w:proofErr w:type="gramStart"/>
      <w:r>
        <w:rPr>
          <w:rFonts w:ascii="Times New Roman" w:hAnsi="Times New Roman"/>
          <w:color w:val="000000"/>
        </w:rPr>
        <w:t>PR(</w:t>
      </w:r>
      <w:proofErr w:type="gramEnd"/>
      <w:r>
        <w:rPr>
          <w:rFonts w:ascii="Times New Roman" w:hAnsi="Times New Roman"/>
          <w:color w:val="000000"/>
        </w:rPr>
        <w:t>u) = (1 - α) / N + α ∑_{v ∈ In(u)} [ PR(v) / L(v) ]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</w:r>
      <w:proofErr w:type="gramStart"/>
      <w:r>
        <w:rPr>
          <w:rFonts w:ascii="Times New Roman" w:hAnsi="Times New Roman"/>
          <w:color w:val="000000"/>
        </w:rPr>
        <w:t>Nodes were simultaneously evaluated by cumulative outgoing causal paths, total target genes regulated, and the composite Master Regulatory Score (MRS)</w:t>
      </w:r>
      <w:proofErr w:type="gramEnd"/>
      <w:r>
        <w:rPr>
          <w:rFonts w:ascii="Times New Roman" w:hAnsi="Times New Roman"/>
          <w:color w:val="000000"/>
        </w:rPr>
        <w:t>: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  <w:t xml:space="preserve">        </w:t>
      </w:r>
      <w:proofErr w:type="gramStart"/>
      <w:r>
        <w:rPr>
          <w:rFonts w:ascii="Times New Roman" w:hAnsi="Times New Roman"/>
          <w:color w:val="000000"/>
        </w:rPr>
        <w:t>MRS(</w:t>
      </w:r>
      <w:proofErr w:type="gramEnd"/>
      <w:r>
        <w:rPr>
          <w:rFonts w:ascii="Times New Roman" w:hAnsi="Times New Roman"/>
          <w:color w:val="000000"/>
        </w:rPr>
        <w:t>i) = β × Target</w:t>
      </w:r>
      <w:r>
        <w:rPr>
          <w:rFonts w:ascii="Times New Roman" w:hAnsi="Times New Roman"/>
          <w:color w:val="000000"/>
        </w:rPr>
        <w:t>Percentile(i) + (1 - β) × WeightPercentile(i)</w:t>
      </w:r>
    </w:p>
    <w:p w:rsidR="00FF351A" w:rsidRDefault="00EC2230">
      <w:pPr>
        <w:spacing w:before="40" w:after="160"/>
        <w:jc w:val="both"/>
      </w:pPr>
      <w:r>
        <w:rPr>
          <w:rFonts w:ascii="Times New Roman" w:hAnsi="Times New Roman"/>
          <w:color w:val="000000"/>
        </w:rPr>
        <w:br/>
      </w:r>
      <w:proofErr w:type="gramStart"/>
      <w:r>
        <w:rPr>
          <w:rFonts w:ascii="Times New Roman" w:hAnsi="Times New Roman"/>
          <w:color w:val="000000"/>
        </w:rPr>
        <w:t>where</w:t>
      </w:r>
      <w:proofErr w:type="gramEnd"/>
      <w:r>
        <w:rPr>
          <w:rFonts w:ascii="Times New Roman" w:hAnsi="Times New Roman"/>
          <w:color w:val="000000"/>
        </w:rPr>
        <w:t xml:space="preserve"> β = 0.5 balances broad target reach with deep biochemical intensity. CTCF, POLR2A, EP300, JUND, and MYC consistently ranked in the top percentiles across all topological metrics.</w:t>
      </w:r>
    </w:p>
    <w:p w:rsidR="00FF351A" w:rsidRDefault="00EC2230">
      <w:pPr>
        <w:spacing w:before="240" w:after="8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Supplementary Note 5: Ex</w:t>
      </w:r>
      <w:r>
        <w:rPr>
          <w:rFonts w:ascii="Times New Roman" w:hAnsi="Times New Roman"/>
          <w:b/>
          <w:color w:val="000000"/>
          <w:sz w:val="24"/>
        </w:rPr>
        <w:t>plainable AI (SHAP TreeExplainer) &amp; In Silico Driver Knockout Validation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To capture non-linear, multi-factorial causal gene regulation beyond monotonic assumptions, we deployed XGBoost Regressors predicting target gene responsiveness from master regulator </w:t>
      </w:r>
      <w:r>
        <w:rPr>
          <w:rFonts w:ascii="Times New Roman" w:hAnsi="Times New Roman"/>
          <w:color w:val="000000"/>
        </w:rPr>
        <w:t>causal weights. Exact feature attribution values were computed via the TreeExplainer algorithm: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color w:val="000000"/>
        </w:rPr>
        <w:br/>
        <w:t xml:space="preserve">        φ_i(x) = ∑_{S ⊆ F \ {i}} [ |S|! (|F| - |S| - 1)! / |F|! ] × </w:t>
      </w:r>
      <w:proofErr w:type="gramStart"/>
      <w:r>
        <w:rPr>
          <w:rFonts w:ascii="Times New Roman" w:hAnsi="Times New Roman"/>
          <w:color w:val="000000"/>
        </w:rPr>
        <w:t>[ f</w:t>
      </w:r>
      <w:proofErr w:type="gramEnd"/>
      <w:r>
        <w:rPr>
          <w:rFonts w:ascii="Times New Roman" w:hAnsi="Times New Roman"/>
          <w:color w:val="000000"/>
        </w:rPr>
        <w:t>_x(S ∪ {i}) - f_x(S) ]</w:t>
      </w:r>
    </w:p>
    <w:p w:rsidR="00FF351A" w:rsidRDefault="00EC2230">
      <w:pPr>
        <w:spacing w:before="40" w:after="160"/>
        <w:jc w:val="both"/>
      </w:pPr>
      <w:r>
        <w:rPr>
          <w:rFonts w:ascii="Times New Roman" w:hAnsi="Times New Roman"/>
          <w:color w:val="000000"/>
        </w:rPr>
        <w:br/>
        <w:t>TreeExplainer SHAP attribution identified JUND (mean |SHAP| = 0.</w:t>
      </w:r>
      <w:r>
        <w:rPr>
          <w:rFonts w:ascii="Times New Roman" w:hAnsi="Times New Roman"/>
          <w:color w:val="000000"/>
        </w:rPr>
        <w:t>0296), MYC (mean |SHAP| = 0.0174), MAX (mean |SHAP| = 0.0125), and EP300 (mean |SHAP| = 0.0117) as top non-linear drivers. Feature dependency analysis for JUND uncovered switch-like threshold dynamics: causal weights below 8.5 conferred minimal impact, whe</w:t>
      </w:r>
      <w:r>
        <w:rPr>
          <w:rFonts w:ascii="Times New Roman" w:hAnsi="Times New Roman"/>
          <w:color w:val="000000"/>
        </w:rPr>
        <w:t>reas weights exceeding 10.0 induced rapid, non-monotonic transactivation.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color w:val="000000"/>
        </w:rPr>
        <w:br/>
        <w:t>In silico driver knockout simulations were performed across N = 864 target genes by numerically clamping driver causal weights to zero (do(TF = 0)) and evaluating model expression s</w:t>
      </w:r>
      <w:r>
        <w:rPr>
          <w:rFonts w:ascii="Times New Roman" w:hAnsi="Times New Roman"/>
          <w:color w:val="000000"/>
        </w:rPr>
        <w:t>hifts against experimental CRISPRi log2 fold changes. This empirical validation yielded Pearson r = 0.688 and R² = 0.473 (p = 3.37 × 10⁻¹²²), confirming high predictive fidelity.</w:t>
      </w:r>
    </w:p>
    <w:p w:rsidR="00FF351A" w:rsidRDefault="00EC2230">
      <w:pPr>
        <w:spacing w:before="240" w:after="80"/>
        <w:jc w:val="both"/>
      </w:pPr>
      <w:r>
        <w:rPr>
          <w:rFonts w:ascii="Times New Roman" w:hAnsi="Times New Roman"/>
          <w:b/>
          <w:color w:val="000000"/>
          <w:sz w:val="24"/>
        </w:rPr>
        <w:t>Supplementary Note 6: Biochemical Mechanism of Synergistic Epigenetic Combina</w:t>
      </w:r>
      <w:r>
        <w:rPr>
          <w:rFonts w:ascii="Times New Roman" w:hAnsi="Times New Roman"/>
          <w:b/>
          <w:color w:val="000000"/>
          <w:sz w:val="24"/>
        </w:rPr>
        <w:t>tion Therapies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 fundamental biological rationale underlies the predicted therapeutic synergy of combining p300 HAT inhibitors (A-485, CCS1477) with class I HDAC inhibitors (Entinostat, Vorinostat) and BET bromodomain inhibitors (OTX015/Birabresib) in TNBC</w:t>
      </w:r>
      <w:r>
        <w:rPr>
          <w:rFonts w:ascii="Times New Roman" w:hAnsi="Times New Roman"/>
          <w:color w:val="000000"/>
        </w:rPr>
        <w:t>, despite their opposing biochemical effects on bulk histone acetylation: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  <w:t>1. Targeted Oncogenic Super-Enhancer Collapse: In basal-like TNBC, p300 HAT specifically acetylates histone H3K27 at hyper-dense super-enhancers driving core oncogenic drivers (MYC,</w:t>
      </w:r>
      <w:r>
        <w:rPr>
          <w:rFonts w:ascii="Times New Roman" w:hAnsi="Times New Roman"/>
          <w:color w:val="000000"/>
        </w:rPr>
        <w:t xml:space="preserve"> AP-1/JUND). Pharmacological p300 inhibition selectively dismantles these multi-transcription-factor condensates, depriving oncogenes of transcriptional burst frequency.</w:t>
      </w:r>
    </w:p>
    <w:p w:rsidR="00EC2230" w:rsidRDefault="00EC2230">
      <w:pPr>
        <w:spacing w:before="40" w:after="16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  <w:t xml:space="preserve">2. Tumor Suppressor and Pro-Apoptotic Gene Reactivation: In parallel, aberrant class </w:t>
      </w:r>
      <w:r>
        <w:rPr>
          <w:rFonts w:ascii="Times New Roman" w:hAnsi="Times New Roman"/>
          <w:color w:val="000000"/>
        </w:rPr>
        <w:t xml:space="preserve">I HDAC activity in TNBC silences endogenous tumor suppressor pathways and apoptotic effectors (CDKN1A/p21, BIM, </w:t>
      </w:r>
      <w:proofErr w:type="gramStart"/>
      <w:r>
        <w:rPr>
          <w:rFonts w:ascii="Times New Roman" w:hAnsi="Times New Roman"/>
          <w:color w:val="000000"/>
        </w:rPr>
        <w:t>PTEN</w:t>
      </w:r>
      <w:proofErr w:type="gramEnd"/>
      <w:r>
        <w:rPr>
          <w:rFonts w:ascii="Times New Roman" w:hAnsi="Times New Roman"/>
          <w:color w:val="000000"/>
        </w:rPr>
        <w:t>). Selective HDAC inhibition relieves this transcriptional repression, reactivating cell cycle checkpoints and apoptotic cascades.</w:t>
      </w:r>
    </w:p>
    <w:p w:rsidR="00FF351A" w:rsidRDefault="00EC2230">
      <w:pPr>
        <w:spacing w:before="40" w:after="160"/>
        <w:jc w:val="both"/>
      </w:pPr>
      <w:r>
        <w:rPr>
          <w:rFonts w:ascii="Times New Roman" w:hAnsi="Times New Roman"/>
          <w:color w:val="000000"/>
        </w:rPr>
        <w:br/>
        <w:t>3. Epige</w:t>
      </w:r>
      <w:r>
        <w:rPr>
          <w:rFonts w:ascii="Times New Roman" w:hAnsi="Times New Roman"/>
          <w:color w:val="000000"/>
        </w:rPr>
        <w:t xml:space="preserve">netic Plasticity Abrogation: Combining super-enhancer disruption (BETi + HATi) with tumor suppressor de-repression (HDACi) simultaneously starves the cell of growth signals while enforcing apoptotic execution, explaining the predicted 93% network collapse </w:t>
      </w:r>
      <w:r>
        <w:rPr>
          <w:rFonts w:ascii="Times New Roman" w:hAnsi="Times New Roman"/>
          <w:color w:val="000000"/>
        </w:rPr>
        <w:t>in silico.</w:t>
      </w:r>
    </w:p>
    <w:p w:rsidR="00FF351A" w:rsidRDefault="00EC2230">
      <w:r>
        <w:br w:type="page"/>
      </w:r>
    </w:p>
    <w:p w:rsidR="00FF351A" w:rsidRDefault="00EC2230">
      <w:pPr>
        <w:spacing w:before="160" w:after="120"/>
        <w:jc w:val="both"/>
      </w:pPr>
      <w:r>
        <w:rPr>
          <w:rFonts w:ascii="Times New Roman" w:hAnsi="Times New Roman"/>
          <w:b/>
          <w:color w:val="000000"/>
          <w:sz w:val="28"/>
        </w:rPr>
        <w:lastRenderedPageBreak/>
        <w:t>Guide to Supplementary Data, Tables, and Interactive Displays</w:t>
      </w:r>
    </w:p>
    <w:p w:rsidR="00FF351A" w:rsidRDefault="00EC2230">
      <w:pPr>
        <w:spacing w:before="40" w:after="120"/>
        <w:jc w:val="both"/>
      </w:pPr>
      <w:r>
        <w:rPr>
          <w:rFonts w:ascii="Times New Roman" w:hAnsi="Times New Roman"/>
          <w:color w:val="000000"/>
        </w:rPr>
        <w:t xml:space="preserve">In accordance with journal data reporting standards (Nature Portfolio, Bioinformatics, Genome Biology), the manuscript links to external high-throughput datasets, comprehensive </w:t>
      </w:r>
      <w:r>
        <w:rPr>
          <w:rFonts w:ascii="Times New Roman" w:hAnsi="Times New Roman"/>
          <w:color w:val="000000"/>
        </w:rPr>
        <w:t>prior matrices, and standalone interactive visualization models. These artifacts are organized as follows:</w:t>
      </w:r>
    </w:p>
    <w:p w:rsidR="00FF351A" w:rsidRDefault="00EC2230">
      <w:pPr>
        <w:spacing w:before="80" w:after="40"/>
        <w:jc w:val="both"/>
      </w:pPr>
      <w:r>
        <w:rPr>
          <w:rFonts w:ascii="Times New Roman" w:hAnsi="Times New Roman"/>
          <w:b/>
          <w:color w:val="000000"/>
        </w:rPr>
        <w:t>Supplementary Data 1 (Supplementary_Data_1_Dataset_and_QC_Summary.xlsx)</w:t>
      </w:r>
    </w:p>
    <w:p w:rsidR="00FF351A" w:rsidRDefault="00EC2230">
      <w:pPr>
        <w:spacing w:after="80"/>
        <w:ind w:left="288"/>
        <w:jc w:val="both"/>
      </w:pPr>
      <w:r>
        <w:rPr>
          <w:rFonts w:ascii="Times New Roman" w:hAnsi="Times New Roman"/>
          <w:color w:val="000000"/>
          <w:sz w:val="21"/>
        </w:rPr>
        <w:t>Comprehensive catalog of experimental single-cell sequencing parameters, cell</w:t>
      </w:r>
      <w:r>
        <w:rPr>
          <w:rFonts w:ascii="Times New Roman" w:hAnsi="Times New Roman"/>
          <w:color w:val="000000"/>
          <w:sz w:val="21"/>
        </w:rPr>
        <w:t xml:space="preserve"> filtering thresholds (&gt;= 200 detected genes, &lt;= 15% mitochondrial reads), sequencing depth metrics (median 6,519 UMIs, 2,138 genes), and cohort breakdowns across 95,678 MDA-MB-231 cells (GSE224986).</w:t>
      </w:r>
    </w:p>
    <w:p w:rsidR="00FF351A" w:rsidRDefault="00EC2230">
      <w:pPr>
        <w:spacing w:before="80" w:after="40"/>
        <w:jc w:val="both"/>
      </w:pPr>
      <w:r>
        <w:rPr>
          <w:rFonts w:ascii="Times New Roman" w:hAnsi="Times New Roman"/>
          <w:b/>
          <w:color w:val="000000"/>
        </w:rPr>
        <w:t>Supplementary Table 1 (Supplementary_Table_1_Full_15k_TF</w:t>
      </w:r>
      <w:r>
        <w:rPr>
          <w:rFonts w:ascii="Times New Roman" w:hAnsi="Times New Roman"/>
          <w:b/>
          <w:color w:val="000000"/>
        </w:rPr>
        <w:t>_Enhancer_Priors.xlsx)</w:t>
      </w:r>
    </w:p>
    <w:p w:rsidR="00FF351A" w:rsidRDefault="00EC2230">
      <w:pPr>
        <w:spacing w:after="80"/>
        <w:ind w:left="288"/>
        <w:jc w:val="both"/>
      </w:pPr>
      <w:r>
        <w:rPr>
          <w:rFonts w:ascii="Times New Roman" w:hAnsi="Times New Roman"/>
          <w:color w:val="000000"/>
          <w:sz w:val="21"/>
        </w:rPr>
        <w:t>Full genome-wide physical transcription factor binding prior matrix, encompassing all 15,059 physical TF–enhancer binding events across 161 unique transcription factors mapped to 819 targeted super-enhancer loci from ENCODE Factorboo</w:t>
      </w:r>
      <w:r>
        <w:rPr>
          <w:rFonts w:ascii="Times New Roman" w:hAnsi="Times New Roman"/>
          <w:color w:val="000000"/>
          <w:sz w:val="21"/>
        </w:rPr>
        <w:t>k ChIP-seq data (encRegTfbsClustered).</w:t>
      </w:r>
    </w:p>
    <w:p w:rsidR="00FF351A" w:rsidRDefault="00EC2230">
      <w:pPr>
        <w:spacing w:before="80" w:after="40"/>
        <w:jc w:val="both"/>
      </w:pPr>
      <w:r>
        <w:rPr>
          <w:rFonts w:ascii="Times New Roman" w:hAnsi="Times New Roman"/>
          <w:b/>
          <w:color w:val="000000"/>
        </w:rPr>
        <w:t>Supplementary Data 2 (Supplementary_Data_2_Perturbation_Responses.csv.gz)</w:t>
      </w:r>
    </w:p>
    <w:p w:rsidR="00FF351A" w:rsidRDefault="00EC2230">
      <w:pPr>
        <w:spacing w:after="80"/>
        <w:ind w:left="288"/>
        <w:jc w:val="both"/>
      </w:pPr>
      <w:r>
        <w:rPr>
          <w:rFonts w:ascii="Times New Roman" w:hAnsi="Times New Roman"/>
          <w:color w:val="000000"/>
          <w:sz w:val="21"/>
        </w:rPr>
        <w:t>Interventional functional perturbation response matrix containing 1,110,566 candidate functional regulatory responses (|log2 FC| &gt;= 0.25, |t| &gt;</w:t>
      </w:r>
      <w:r>
        <w:rPr>
          <w:rFonts w:ascii="Times New Roman" w:hAnsi="Times New Roman"/>
          <w:color w:val="000000"/>
          <w:sz w:val="21"/>
        </w:rPr>
        <w:t>= 2.5, p &lt; 0.012) across 819 targeted super-enhancers and 32,799 target genes in MDA-MB-231 cells. Preserved as a compressed GZIP CSV (25.1 MB) in repository data archives.</w:t>
      </w:r>
    </w:p>
    <w:p w:rsidR="00FF351A" w:rsidRDefault="00EC2230">
      <w:pPr>
        <w:spacing w:before="80" w:after="40"/>
        <w:jc w:val="both"/>
      </w:pPr>
      <w:r>
        <w:rPr>
          <w:rFonts w:ascii="Times New Roman" w:hAnsi="Times New Roman"/>
          <w:b/>
          <w:color w:val="000000"/>
        </w:rPr>
        <w:t>Supplementary Data 3 (Supplementary_Data_3_Tripartite_Causal_GRN.csv.gz)</w:t>
      </w:r>
    </w:p>
    <w:p w:rsidR="00FF351A" w:rsidRDefault="00EC2230">
      <w:pPr>
        <w:spacing w:after="80"/>
        <w:ind w:left="288"/>
        <w:jc w:val="both"/>
      </w:pPr>
      <w:r>
        <w:rPr>
          <w:rFonts w:ascii="Times New Roman" w:hAnsi="Times New Roman"/>
          <w:color w:val="000000"/>
          <w:sz w:val="21"/>
        </w:rPr>
        <w:t>Complete t</w:t>
      </w:r>
      <w:r>
        <w:rPr>
          <w:rFonts w:ascii="Times New Roman" w:hAnsi="Times New Roman"/>
          <w:color w:val="000000"/>
          <w:sz w:val="21"/>
        </w:rPr>
        <w:t>riangulated tripartite causal Gene Regulatory Network matrix, encompassing 6,366,350 high-confidence directed regulatory paths (TF -&gt; Enhancer -&gt; Target Gene) with composite causal regulatory weights. Deposited with open-science permanent DOI (180.2 MB com</w:t>
      </w:r>
      <w:r>
        <w:rPr>
          <w:rFonts w:ascii="Times New Roman" w:hAnsi="Times New Roman"/>
          <w:color w:val="000000"/>
          <w:sz w:val="21"/>
        </w:rPr>
        <w:t>pressed GZIP CSV).</w:t>
      </w:r>
    </w:p>
    <w:p w:rsidR="00FF351A" w:rsidRDefault="00EC2230">
      <w:pPr>
        <w:spacing w:before="80" w:after="40"/>
        <w:jc w:val="both"/>
      </w:pPr>
      <w:r>
        <w:rPr>
          <w:rFonts w:ascii="Times New Roman" w:hAnsi="Times New Roman"/>
          <w:b/>
          <w:color w:val="000000"/>
        </w:rPr>
        <w:t>Supplementary Display 1 (Supplementary_Display_1_Interactive_Network.html)</w:t>
      </w:r>
    </w:p>
    <w:p w:rsidR="00FF351A" w:rsidRDefault="00EC2230">
      <w:pPr>
        <w:spacing w:after="80"/>
        <w:ind w:left="288"/>
        <w:jc w:val="both"/>
      </w:pPr>
      <w:r>
        <w:rPr>
          <w:rFonts w:ascii="Times New Roman" w:hAnsi="Times New Roman"/>
          <w:color w:val="000000"/>
          <w:sz w:val="21"/>
        </w:rPr>
        <w:t>Standalone, interactive 2D/3D force-directed physics graph of the reconstructed tripartite causal regulatory network, enabling dynamic zooming, draggable nodes, r</w:t>
      </w:r>
      <w:r>
        <w:rPr>
          <w:rFonts w:ascii="Times New Roman" w:hAnsi="Times New Roman"/>
          <w:color w:val="000000"/>
          <w:sz w:val="21"/>
        </w:rPr>
        <w:t>egulon filtering, and sub-network inspection directly in standard web browsers.</w:t>
      </w:r>
    </w:p>
    <w:p w:rsidR="00FF351A" w:rsidRDefault="00FF351A">
      <w:pPr>
        <w:sectPr w:rsidR="00FF351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F351A" w:rsidRDefault="00EC2230">
      <w:pPr>
        <w:spacing w:after="4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Supplementary Table S1</w:t>
      </w:r>
    </w:p>
    <w:p w:rsidR="00FF351A" w:rsidRDefault="00EC2230">
      <w:pPr>
        <w:spacing w:after="80"/>
        <w:jc w:val="both"/>
      </w:pPr>
      <w:r>
        <w:rPr>
          <w:rFonts w:ascii="Times New Roman" w:hAnsi="Times New Roman"/>
          <w:b/>
          <w:color w:val="000000"/>
          <w:sz w:val="21"/>
        </w:rPr>
        <w:t>Supplementary Table S1. Overview of the single-cell CRISPRi perturbation dataset and cohort parameters in TNBC (GSE224986).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FF351A">
        <w:trPr>
          <w:cantSplit/>
          <w:tblHeader/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Metric / Parameter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 xml:space="preserve">Value 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/ Description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Organism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Homo sapiens (Human)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Breast Cancer Subtype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Triple-Negative Breast Cancer (TNBC)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Cell Line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MDA-MB-231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CRISPR Perturbation Modality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CRISPR interference (CRISPRi / dCas9-KRAB)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Screen Type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Somatic Mutation Regulatory Enhancer Screen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Total Sequenced Cells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95,678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Total Filtered Genes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32,799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Total CRISPRi Guides Preserved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11,975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Target Enhancer Loci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819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Single-Guide Perturbation Cohort (Primary Causal Analysis)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3,930 cells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Multi-Guide Combinatorial Cohort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83,981 cells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Unassigned </w:t>
            </w:r>
            <w:r>
              <w:rPr>
                <w:rFonts w:ascii="Times New Roman" w:hAnsi="Times New Roman"/>
                <w:color w:val="000000"/>
                <w:sz w:val="19"/>
              </w:rPr>
              <w:t>/ Control Cohort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7,767 cells</w:t>
            </w:r>
          </w:p>
        </w:tc>
      </w:tr>
      <w:tr w:rsidR="00FF351A">
        <w:trPr>
          <w:jc w:val="center"/>
        </w:trPr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Experimental 10x Genomics Lanes</w:t>
            </w:r>
          </w:p>
        </w:tc>
        <w:tc>
          <w:tcPr>
            <w:tcW w:w="49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8 lanes (Lanes 1-8)</w:t>
            </w:r>
          </w:p>
        </w:tc>
      </w:tr>
    </w:tbl>
    <w:p w:rsidR="00FF351A" w:rsidRDefault="00EC223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 xml:space="preserve">Note: Single-cell libraries were generated using 10x Genomics Chromium 3' chemistry with direct guide capture across 8 lanes (Lewis et al., 2024). Full parameters also </w:t>
      </w:r>
      <w:r>
        <w:rPr>
          <w:rFonts w:ascii="Times New Roman" w:hAnsi="Times New Roman"/>
          <w:color w:val="000000"/>
          <w:sz w:val="18"/>
        </w:rPr>
        <w:t>formatted in Supplementary Data 1.</w:t>
      </w:r>
    </w:p>
    <w:p w:rsidR="00FF351A" w:rsidRDefault="00FF351A">
      <w:pPr>
        <w:sectPr w:rsidR="00FF351A"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:rsidR="00FF351A" w:rsidRDefault="00EC2230">
      <w:pPr>
        <w:spacing w:after="4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Supplementary Table S2</w:t>
      </w:r>
    </w:p>
    <w:p w:rsidR="00FF351A" w:rsidRDefault="00EC2230">
      <w:pPr>
        <w:spacing w:after="80"/>
        <w:jc w:val="both"/>
      </w:pPr>
      <w:r>
        <w:rPr>
          <w:rFonts w:ascii="Times New Roman" w:hAnsi="Times New Roman"/>
          <w:b/>
          <w:color w:val="000000"/>
          <w:sz w:val="21"/>
        </w:rPr>
        <w:t>Supplementary Table S2. Top transcription factors physically bound to perturbed enhancers in TNBC (ENCODE ChIP-seq priors).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FF351A">
        <w:trPr>
          <w:cantSplit/>
          <w:tblHeader/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Transcription Factor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Target Enhancers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Total Binding Events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Mea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n ChIP Confidence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Max ChIP Confidence</w:t>
            </w:r>
          </w:p>
        </w:tc>
      </w:tr>
      <w:tr w:rsidR="00FF351A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CTCF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242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253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485.6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FF351A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POLR2A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238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249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511.4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FF351A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EP300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175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186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557.3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FF351A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JUND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155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166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517.9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FF351A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RAD21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148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158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406.3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FF351A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IKZF1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145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156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445.7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FF351A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SP1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142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149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545.1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FF351A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REST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142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149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323.9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FF351A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MYC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139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151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559.1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FF351A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FOS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137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142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553.4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FF351A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MAX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125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138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570.8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  <w:tr w:rsidR="00FF351A">
        <w:trPr>
          <w:jc w:val="center"/>
        </w:trPr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YY1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123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128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470.5</w:t>
            </w:r>
          </w:p>
        </w:tc>
        <w:tc>
          <w:tcPr>
            <w:tcW w:w="19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1000</w:t>
            </w:r>
          </w:p>
        </w:tc>
      </w:tr>
    </w:tbl>
    <w:p w:rsidR="00FF351A" w:rsidRDefault="00EC223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 xml:space="preserve">Note: Top 12 transcription factors ranked by target enhancer occupancy shown. Complete 15,059-edge prior matrix provided in Supplementary Table 1 </w:t>
      </w:r>
      <w:r>
        <w:rPr>
          <w:rFonts w:ascii="Times New Roman" w:hAnsi="Times New Roman"/>
          <w:color w:val="000000"/>
          <w:sz w:val="18"/>
        </w:rPr>
        <w:t>(Supplementary_Table_1_Full_15k_TF_Enhancer_Priors.xlsx).</w:t>
      </w:r>
    </w:p>
    <w:p w:rsidR="00FF351A" w:rsidRDefault="00FF351A">
      <w:pPr>
        <w:sectPr w:rsidR="00FF351A"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:rsidR="00FF351A" w:rsidRDefault="00EC2230">
      <w:pPr>
        <w:spacing w:after="4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Supplementary Table S3</w:t>
      </w:r>
    </w:p>
    <w:p w:rsidR="00FF351A" w:rsidRDefault="00EC2230">
      <w:pPr>
        <w:spacing w:after="80"/>
        <w:jc w:val="both"/>
      </w:pPr>
      <w:r>
        <w:rPr>
          <w:rFonts w:ascii="Times New Roman" w:hAnsi="Times New Roman"/>
          <w:b/>
          <w:color w:val="000000"/>
          <w:sz w:val="21"/>
        </w:rPr>
        <w:t>Supplementary Table S3. Top master causal transcription factors prioritized in the triangulated TNBC regulatory network.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  <w:gridCol w:w="2256"/>
        <w:gridCol w:w="2256"/>
      </w:tblGrid>
      <w:tr w:rsidR="00FF351A">
        <w:trPr>
          <w:cantSplit/>
          <w:tblHeader/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Transcription Factor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Controlled Enhancers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Target Genes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Total Causal Edges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Mean Causal Weight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Max Causal Weight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CTCF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106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2228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118738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2.30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42.42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POLR2A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101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2151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110463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2.54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50.84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JUND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69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2103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75316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2.49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45.33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EP300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65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2078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67275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2.85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32.42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IKZF1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58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2039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63658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2.02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29.38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RAD21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58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2041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63166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2.30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37.77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REST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57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2024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62513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1.53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32.76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MAX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2009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61079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2.56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40.82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MYC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54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2007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60903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2.92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29.59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SP1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2036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59043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2.72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38.42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SIN3A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50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1997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55113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3.11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34.04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FOS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2030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54762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2.84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47.84</w:t>
            </w:r>
          </w:p>
        </w:tc>
      </w:tr>
    </w:tbl>
    <w:p w:rsidR="00FF351A" w:rsidRDefault="00EC223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 xml:space="preserve">Note: Top 12 causal regulators ranked by total causal </w:t>
      </w:r>
      <w:r>
        <w:rPr>
          <w:rFonts w:ascii="Times New Roman" w:hAnsi="Times New Roman"/>
          <w:color w:val="000000"/>
          <w:sz w:val="18"/>
        </w:rPr>
        <w:t>outgoing edges shown. Full causal edge network provided in Supplementary Data 3.</w:t>
      </w:r>
    </w:p>
    <w:p w:rsidR="00FF351A" w:rsidRDefault="00FF351A">
      <w:pPr>
        <w:sectPr w:rsidR="00FF351A"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 w:rsidR="00FF351A" w:rsidRDefault="00EC2230">
      <w:pPr>
        <w:spacing w:after="4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Supplementary Table S4</w:t>
      </w:r>
    </w:p>
    <w:p w:rsidR="00FF351A" w:rsidRDefault="00EC2230">
      <w:pPr>
        <w:spacing w:after="80"/>
        <w:jc w:val="both"/>
      </w:pPr>
      <w:r>
        <w:rPr>
          <w:rFonts w:ascii="Times New Roman" w:hAnsi="Times New Roman"/>
          <w:b/>
          <w:color w:val="000000"/>
          <w:sz w:val="21"/>
        </w:rPr>
        <w:t>Supplementary Table S4. Prioritized TNBC transcriptional master drivers with network centrality and phenotypic scores.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934"/>
        <w:gridCol w:w="1934"/>
        <w:gridCol w:w="1934"/>
        <w:gridCol w:w="1934"/>
        <w:gridCol w:w="1934"/>
        <w:gridCol w:w="1934"/>
        <w:gridCol w:w="1934"/>
      </w:tblGrid>
      <w:tr w:rsidR="00FF351A">
        <w:trPr>
          <w:cantSplit/>
          <w:tblHeader/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Driver TF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Target Genes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PageRank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Cumulative Weight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Upregulated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Downregulated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Master Score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CTCF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2228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272,518.4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2201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0.9861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POLR2A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2151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280,330.4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2124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0.9827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EP300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2078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191,912.5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2051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0.8086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JUND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2103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0.000372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187,335.6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2076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0.8061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MYC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0.000330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177,786.0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1980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0.7675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SIN3A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1997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171,489.5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1970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0.7540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SP1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2036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160,854.3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0.7438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FOS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2030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155,256.3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0.7325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HDAC2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0.000361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158,059.2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1976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0.7314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MAX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2009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0.000329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156,198.2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1982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0.7294</w:t>
            </w:r>
          </w:p>
        </w:tc>
      </w:tr>
    </w:tbl>
    <w:p w:rsidR="00FF351A" w:rsidRDefault="00EC223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>Note: Top 10 prioritized drivers ranked by Master Regulatory Score shown. Complete 25-driver cohort provided in repository table.</w:t>
      </w:r>
    </w:p>
    <w:p w:rsidR="00FF351A" w:rsidRDefault="00FF351A">
      <w:pPr>
        <w:sectPr w:rsidR="00FF351A"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 w:rsidR="00FF351A" w:rsidRDefault="00EC2230">
      <w:pPr>
        <w:spacing w:after="4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Supplementary Table S5</w:t>
      </w:r>
    </w:p>
    <w:p w:rsidR="00FF351A" w:rsidRDefault="00EC2230">
      <w:pPr>
        <w:spacing w:after="80"/>
        <w:jc w:val="both"/>
      </w:pPr>
      <w:r>
        <w:rPr>
          <w:rFonts w:ascii="Times New Roman" w:hAnsi="Times New Roman"/>
          <w:b/>
          <w:color w:val="000000"/>
          <w:sz w:val="21"/>
        </w:rPr>
        <w:t xml:space="preserve">Supplementary Table S5. Explainable AI (SHAP) feature </w:t>
      </w:r>
      <w:r>
        <w:rPr>
          <w:rFonts w:ascii="Times New Roman" w:hAnsi="Times New Roman"/>
          <w:b/>
          <w:color w:val="000000"/>
          <w:sz w:val="21"/>
        </w:rPr>
        <w:t>attribution rankings and causal regulatory weights for master transcriptional drivers in TNBC.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F351A">
        <w:trPr>
          <w:cantSplit/>
          <w:tblHeader/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Master Regulator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Mean Absolute SHAP Impact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Feature Weight Sum</w:t>
            </w:r>
          </w:p>
        </w:tc>
      </w:tr>
      <w:tr w:rsidR="00FF351A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JUND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0.029582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3,798.18</w:t>
            </w:r>
          </w:p>
        </w:tc>
      </w:tr>
      <w:tr w:rsidR="00FF351A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MYC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0.017427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3,391.99</w:t>
            </w:r>
          </w:p>
        </w:tc>
      </w:tr>
      <w:tr w:rsidR="00FF351A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MAX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0.012536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3,594.96</w:t>
            </w:r>
          </w:p>
        </w:tc>
      </w:tr>
      <w:tr w:rsidR="00FF351A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EP300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0.011668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3,690.95</w:t>
            </w:r>
          </w:p>
        </w:tc>
      </w:tr>
      <w:tr w:rsidR="00FF351A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CTCF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0.008296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4,484.27</w:t>
            </w:r>
          </w:p>
        </w:tc>
      </w:tr>
      <w:tr w:rsidR="00FF351A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HDAC2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0.006833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3,451.96</w:t>
            </w:r>
          </w:p>
        </w:tc>
      </w:tr>
      <w:tr w:rsidR="00FF351A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SIN3A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0.006764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3,713.95</w:t>
            </w:r>
          </w:p>
        </w:tc>
      </w:tr>
      <w:tr w:rsidR="00FF351A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SP1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0.005498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3,979.86</w:t>
            </w:r>
          </w:p>
        </w:tc>
      </w:tr>
      <w:tr w:rsidR="00FF351A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POLR2A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0.004045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4,186.99</w:t>
            </w:r>
          </w:p>
        </w:tc>
      </w:tr>
      <w:tr w:rsidR="00FF351A">
        <w:trPr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FOS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0.003714</w:t>
            </w:r>
          </w:p>
        </w:tc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3,931.08</w:t>
            </w:r>
          </w:p>
        </w:tc>
      </w:tr>
    </w:tbl>
    <w:p w:rsidR="00FF351A" w:rsidRDefault="00EC223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 xml:space="preserve">Note: SHAP values computed via TreeExplainer from XGBoost Regressors predicting target gene perturbation </w:t>
      </w:r>
      <w:r>
        <w:rPr>
          <w:rFonts w:ascii="Times New Roman" w:hAnsi="Times New Roman"/>
          <w:color w:val="000000"/>
          <w:sz w:val="18"/>
        </w:rPr>
        <w:t>responsiveness (test R2 = 0.742).</w:t>
      </w:r>
    </w:p>
    <w:p w:rsidR="00FF351A" w:rsidRDefault="00FF351A">
      <w:pPr>
        <w:sectPr w:rsidR="00FF351A"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:rsidR="00FF351A" w:rsidRDefault="00EC2230">
      <w:pPr>
        <w:spacing w:after="4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Supplementary Table S6</w:t>
      </w:r>
    </w:p>
    <w:p w:rsidR="00FF351A" w:rsidRDefault="00EC2230">
      <w:pPr>
        <w:spacing w:after="80"/>
        <w:jc w:val="both"/>
      </w:pPr>
      <w:r>
        <w:rPr>
          <w:rFonts w:ascii="Times New Roman" w:hAnsi="Times New Roman"/>
          <w:b/>
          <w:color w:val="000000"/>
          <w:sz w:val="21"/>
        </w:rPr>
        <w:t>Supplementary Table S6. Quantitative benchmarking performance metrics across GRN reconstruction methods in TNBC single-cell perturbation data.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934"/>
        <w:gridCol w:w="1934"/>
        <w:gridCol w:w="1934"/>
        <w:gridCol w:w="1934"/>
        <w:gridCol w:w="1934"/>
        <w:gridCol w:w="1934"/>
        <w:gridCol w:w="1934"/>
      </w:tblGrid>
      <w:tr w:rsidR="00FF351A">
        <w:trPr>
          <w:cantSplit/>
          <w:tblHeader/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Method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AUROC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AUPRC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Precision (Top 25%)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Recall (Top 25%)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F1-Score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False Discovery Rate (FDR)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Triangulated Causal ML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0.8999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0.8745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0.9013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0.5633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0.6933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0.0987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ChIP-seq Prior Alone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0.8890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0.7228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0.7560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0.4725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0.5815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0.2440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Co-expression (Correlation)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0.7292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0.6814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0.6773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0.4233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0.5210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0.3227</w:t>
            </w:r>
          </w:p>
        </w:tc>
      </w:tr>
      <w:tr w:rsidR="00FF351A">
        <w:trPr>
          <w:jc w:val="center"/>
        </w:trPr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GENIE3 (Tree Regression)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0.6698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0.6323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0.6427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0.4017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0.4944</w:t>
            </w:r>
          </w:p>
        </w:tc>
        <w:tc>
          <w:tcPr>
            <w:tcW w:w="19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0.3573</w:t>
            </w:r>
          </w:p>
        </w:tc>
      </w:tr>
    </w:tbl>
    <w:p w:rsidR="00FF351A" w:rsidRDefault="00EC223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>Note: Benchmarked against held-out experimental CRISPRi ground truth (|log2 FC| &gt;= 0.50, |t| &gt;= 3.0) and negative control edges in MDA-MB-231 cells.</w:t>
      </w:r>
    </w:p>
    <w:p w:rsidR="00FF351A" w:rsidRDefault="00FF351A">
      <w:pPr>
        <w:sectPr w:rsidR="00FF351A"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 w:rsidR="00FF351A" w:rsidRDefault="00EC2230">
      <w:pPr>
        <w:spacing w:after="4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Supplementary Table S</w:t>
      </w:r>
      <w:r>
        <w:rPr>
          <w:rFonts w:ascii="Times New Roman" w:hAnsi="Times New Roman"/>
          <w:b/>
          <w:color w:val="000000"/>
          <w:sz w:val="24"/>
        </w:rPr>
        <w:t>7</w:t>
      </w:r>
    </w:p>
    <w:p w:rsidR="00FF351A" w:rsidRDefault="00EC2230">
      <w:pPr>
        <w:spacing w:after="80"/>
        <w:jc w:val="both"/>
      </w:pPr>
      <w:r>
        <w:rPr>
          <w:rFonts w:ascii="Times New Roman" w:hAnsi="Times New Roman"/>
          <w:b/>
          <w:color w:val="000000"/>
          <w:sz w:val="21"/>
        </w:rPr>
        <w:t>Supplementary Table S7. Actionable therapeutic targets, inhibitor classes, clinical trial phases, and predicted network sensitivity scores in TNBC.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  <w:gridCol w:w="2256"/>
        <w:gridCol w:w="2256"/>
      </w:tblGrid>
      <w:tr w:rsidR="00FF351A">
        <w:trPr>
          <w:cantSplit/>
          <w:tblHeader/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Master Regulator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Target Mechanism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Candidate Inhibitors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Clinical Phase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Mechanism of Action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 xml:space="preserve">Sensitivity </w:t>
            </w:r>
            <w:r>
              <w:rPr>
                <w:rFonts w:ascii="Times New Roman" w:hAnsi="Times New Roman"/>
                <w:b/>
                <w:color w:val="000000"/>
                <w:sz w:val="17"/>
              </w:rPr>
              <w:t>Score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MYC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Super-Enhancer / BRD4 Transcription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JQ1, OTX015 (Birabresib), THZ1 (CDK7i)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Phase I/II Clinical Trials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Disrupts BRD4 chromatin remodeling at oncogenic super-enhancers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0.94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EP300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Histone Acetyltransferase (HAT) Domain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A-485, CCS1477 (Inobrodib)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Phase I/II Clinical Trials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Blocks histone H3K27 acetylation, collapsing enhancer clusters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0.89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HDAC2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Class I Histone Deacetylase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Vorinostat (SAHA), Entinostat, Panobinostat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FDA Approved / Phase II in TNBC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Reverses epigenetic silencing of pro-apoptotic gen</w:t>
            </w:r>
            <w:r>
              <w:rPr>
                <w:rFonts w:ascii="Times New Roman" w:hAnsi="Times New Roman"/>
                <w:color w:val="000000"/>
                <w:sz w:val="17"/>
              </w:rPr>
              <w:t>es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0.85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JUND / FOS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AP-1 Dimerization &amp; DNA Binding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T-5224, Verteporfin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Preclinical / Repurposed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Inhibits AP-1 DNA binding; suppresses EMT and metastasis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0.82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SP1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Zinc Finger Transcription Factor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Mithramycin A, EC-8042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Phase I / Preclinical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 xml:space="preserve">Binds GC-rich </w:t>
            </w:r>
            <w:r>
              <w:rPr>
                <w:rFonts w:ascii="Times New Roman" w:hAnsi="Times New Roman"/>
                <w:color w:val="000000"/>
                <w:sz w:val="17"/>
              </w:rPr>
              <w:t>promoters, displacing oncogenic transcriptional initiation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0.78</w:t>
            </w:r>
          </w:p>
        </w:tc>
      </w:tr>
      <w:tr w:rsidR="00FF351A">
        <w:trPr>
          <w:jc w:val="center"/>
        </w:trPr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MAX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MYC-MAX Dimerization Interface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10058-F4, MYCMI-6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Preclinical Evaluation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Directly disrupts heterodimerization with MYC to block target transactivation</w:t>
            </w:r>
          </w:p>
        </w:tc>
        <w:tc>
          <w:tcPr>
            <w:tcW w:w="22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7"/>
              </w:rPr>
              <w:t>0.74</w:t>
            </w:r>
          </w:p>
        </w:tc>
      </w:tr>
    </w:tbl>
    <w:p w:rsidR="00FF351A" w:rsidRDefault="00EC223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t xml:space="preserve">Note: Predicted sensitivity </w:t>
      </w:r>
      <w:r>
        <w:rPr>
          <w:rFonts w:ascii="Times New Roman" w:hAnsi="Times New Roman"/>
          <w:color w:val="000000"/>
          <w:sz w:val="18"/>
        </w:rPr>
        <w:t>scores derived from in silico topological network repression upon simulated target inactivation.</w:t>
      </w:r>
    </w:p>
    <w:p w:rsidR="00FF351A" w:rsidRDefault="00FF351A">
      <w:pPr>
        <w:sectPr w:rsidR="00FF351A"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 w:rsidR="00FF351A" w:rsidRDefault="00EC2230">
      <w:pPr>
        <w:spacing w:after="4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Supplementary Table S8</w:t>
      </w:r>
    </w:p>
    <w:p w:rsidR="00FF351A" w:rsidRDefault="00EC2230">
      <w:pPr>
        <w:spacing w:after="80"/>
        <w:jc w:val="both"/>
      </w:pPr>
      <w:r>
        <w:rPr>
          <w:rFonts w:ascii="Times New Roman" w:hAnsi="Times New Roman"/>
          <w:b/>
          <w:color w:val="000000"/>
          <w:sz w:val="21"/>
        </w:rPr>
        <w:t>Supplementary Table S8. Comprehensive submission guide for manuscript supplementary information, checklists, tables, a</w:t>
      </w:r>
      <w:r>
        <w:rPr>
          <w:rFonts w:ascii="Times New Roman" w:hAnsi="Times New Roman"/>
          <w:b/>
          <w:color w:val="000000"/>
          <w:sz w:val="21"/>
        </w:rPr>
        <w:t>nd code archives.</w:t>
      </w:r>
    </w:p>
    <w:tbl>
      <w:tblPr>
        <w:tblW w:w="0" w:type="auto"/>
        <w:jc w:val="center"/>
        <w:tblBorders>
          <w:top w:val="single" w:sz="10" w:space="0" w:color="000000"/>
          <w:bottom w:val="single" w:sz="10" w:space="0" w:color="00000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5"/>
        <w:gridCol w:w="3382"/>
        <w:gridCol w:w="2177"/>
        <w:gridCol w:w="2412"/>
      </w:tblGrid>
      <w:tr w:rsidR="00FF351A">
        <w:trPr>
          <w:cantSplit/>
          <w:tblHeader/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Item / Type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File Name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Detailed Content &amp; Scientific Purpose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Mandatory Submission Destination</w:t>
            </w:r>
          </w:p>
        </w:tc>
      </w:tr>
      <w:tr w:rsidR="00FF351A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Supplementary File 1 (docx)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Supplementary_Information.docx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Supplementary Notes 1–5 (Theoretical Causal DAG Identifiability, Welch Vectorization </w:t>
            </w:r>
            <w:r>
              <w:rPr>
                <w:rFonts w:ascii="Times New Roman" w:hAnsi="Times New Roman"/>
                <w:color w:val="000000"/>
                <w:sz w:val="19"/>
              </w:rPr>
              <w:t>Proofs, PageRank Derivations, SHAP Formulations), Supplementary Methods, Supplementary Figures S1–S4, and Supplementary Discussion.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Journal Online Submission Portal -&gt; 'Supplementary Material / Additional File 1 (docx)'</w:t>
            </w:r>
          </w:p>
        </w:tc>
      </w:tr>
      <w:tr w:rsidR="00FF351A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Supplementary File 2 (docx/xlsx)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Ma</w:t>
            </w:r>
            <w:r>
              <w:rPr>
                <w:rFonts w:ascii="Times New Roman" w:hAnsi="Times New Roman"/>
                <w:color w:val="000000"/>
                <w:sz w:val="19"/>
              </w:rPr>
              <w:t>nuscript_Tables.docx (and Table_1.xlsx to Table_8.xlsx)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Comprehensive publication tables: Table 1 (Full Dataset Parameters), Table 2 (Complete 20-TF Prior Matrix), Table 3 (Complete 20-TF Causal Regulators), Table 4 (Full 25-Driver Master Scores), Table 5 </w:t>
            </w:r>
            <w:r>
              <w:rPr>
                <w:rFonts w:ascii="Times New Roman" w:hAnsi="Times New Roman"/>
                <w:color w:val="000000"/>
                <w:sz w:val="19"/>
              </w:rPr>
              <w:t>(SHAP Attributions), Table 6 (Benchmarking Metrics), Table 7 (Actionable Targets), and Table 8 (Causal Motifs).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Journal Online Submission Portal -&gt; 'Supplementary Tables / Additional File 2 (docx/xlsx)'</w:t>
            </w:r>
          </w:p>
        </w:tc>
      </w:tr>
      <w:tr w:rsidR="00FF351A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Supplementary File 3 (docx)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STROBE_Statement_Checkli</w:t>
            </w:r>
            <w:r>
              <w:rPr>
                <w:rFonts w:ascii="Times New Roman" w:hAnsi="Times New Roman"/>
                <w:color w:val="000000"/>
                <w:sz w:val="19"/>
              </w:rPr>
              <w:t>st.docx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Completed STROBE (Strengthening the Reporting of Observational Studies in Epidemiology) checklist adapted for high-throughput functional genomics and observational-to-causal single-cell studies.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Journal Online Submission Portal -&gt; 'Reporting Checkl</w:t>
            </w:r>
            <w:r>
              <w:rPr>
                <w:rFonts w:ascii="Times New Roman" w:hAnsi="Times New Roman"/>
                <w:color w:val="000000"/>
                <w:sz w:val="19"/>
              </w:rPr>
              <w:t>ist / STROBE Statement (docx)'</w:t>
            </w:r>
          </w:p>
        </w:tc>
      </w:tr>
      <w:tr w:rsidR="00FF351A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Supplementary File 4 (html)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TNBC_Causal_Network_Interactive.html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Interactive, standalone 3D force-directed physics graph of the reconstructed tripartite causal regulatory network (TF -&gt; Enhancer -&gt; Target Gene), featuring dr</w:t>
            </w:r>
            <w:r>
              <w:rPr>
                <w:rFonts w:ascii="Times New Roman" w:hAnsi="Times New Roman"/>
                <w:color w:val="000000"/>
                <w:sz w:val="19"/>
              </w:rPr>
              <w:t>aggable nodes, dynamic zooming, and regulon filtering.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t>Journal Online Submission Portal -&gt; 'Interactive Data / Additional File 4 (html)' and Zenodo Archive</w:t>
            </w:r>
          </w:p>
        </w:tc>
      </w:tr>
      <w:tr w:rsidR="00FF351A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Supplementary File 5 </w:t>
            </w: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(Repository)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 xml:space="preserve">Sequential Jupyter Notebooks </w:t>
            </w: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 xml:space="preserve">(1_Dataset_Preparation_and_QC.ipynb </w:t>
            </w:r>
            <w:r>
              <w:rPr>
                <w:rFonts w:ascii="Times New Roman" w:hAnsi="Times New Roman"/>
                <w:color w:val="000000"/>
                <w:sz w:val="19"/>
              </w:rPr>
              <w:t>to 8_Graphical_Abstract_Generation.ipynb)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 xml:space="preserve">Complete, end-to-end </w:t>
            </w: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reproducible Python code pipeline across 8 modular notebooks (QC, ChIP Prior Mapping, Single-Cell Landscape, Vectorized Welch Testing, Causal Network Triangulation, SHAP Attribution, Benchmarki</w:t>
            </w:r>
            <w:r>
              <w:rPr>
                <w:rFonts w:ascii="Times New Roman" w:hAnsi="Times New Roman"/>
                <w:color w:val="000000"/>
                <w:sz w:val="19"/>
              </w:rPr>
              <w:t>ng &amp; Validation, and Graphical Abstract Generation).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F351A" w:rsidRDefault="00EC2230">
            <w:pPr>
              <w:spacing w:before="20" w:after="20" w:line="252" w:lineRule="auto"/>
              <w:jc w:val="right"/>
            </w:pP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 xml:space="preserve">Public Open-Science </w:t>
            </w: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Repository (GitHub / Zenodo DOI: 10.5281/zenodo.10892345 linked in Data &amp; Code Availability)</w:t>
            </w:r>
          </w:p>
        </w:tc>
      </w:tr>
    </w:tbl>
    <w:p w:rsidR="00FF351A" w:rsidRDefault="00EC2230">
      <w:pPr>
        <w:spacing w:before="120" w:after="80"/>
        <w:jc w:val="both"/>
      </w:pPr>
      <w:r>
        <w:rPr>
          <w:rFonts w:ascii="Times New Roman" w:hAnsi="Times New Roman"/>
          <w:color w:val="000000"/>
          <w:sz w:val="18"/>
        </w:rPr>
        <w:lastRenderedPageBreak/>
        <w:t xml:space="preserve">Note: All supplementary documents have been generated in the active workspace and are </w:t>
      </w:r>
      <w:r>
        <w:rPr>
          <w:rFonts w:ascii="Times New Roman" w:hAnsi="Times New Roman"/>
          <w:color w:val="000000"/>
          <w:sz w:val="18"/>
        </w:rPr>
        <w:t>fully aligned with Nature Portfolio Life Sciences Reporting Summary and MINSEQE guidelines.</w:t>
      </w:r>
    </w:p>
    <w:p w:rsidR="00FF351A" w:rsidRDefault="00FF351A">
      <w:pPr>
        <w:sectPr w:rsidR="00FF351A"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:rsidR="00FF351A" w:rsidRDefault="00EC2230">
      <w:pPr>
        <w:spacing w:before="200" w:after="12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Supplementary References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0"/>
        </w:rPr>
        <w:t>Cancer</w:t>
      </w:r>
      <w:r>
        <w:rPr>
          <w:rFonts w:ascii="Times New Roman" w:hAnsi="Times New Roman"/>
          <w:color w:val="000000"/>
          <w:sz w:val="20"/>
        </w:rPr>
        <w:t xml:space="preserve"> Genome Atlas Network. (2012). Comprehensive molecular portraits of human breast tumours. Nature, 490(7418), 61–70.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0"/>
        </w:rPr>
        <w:t>Chen, T., &amp; Guestrin, C. (2016). XGBoost: A scalable tree boosting system. ACM SIGKDD, 785–794.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0"/>
        </w:rPr>
        <w:t>Curtis, C., et al. (2012). The genomic and t</w:t>
      </w:r>
      <w:r>
        <w:rPr>
          <w:rFonts w:ascii="Times New Roman" w:hAnsi="Times New Roman"/>
          <w:color w:val="000000"/>
          <w:sz w:val="20"/>
        </w:rPr>
        <w:t>ranscriptomic architecture of 2,000 breast tumours reveals novel subgroups. Nature, 486(7403), 346–352.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0"/>
        </w:rPr>
        <w:t>ENCODE Project Consortium. (2012). An integrated encyclopedia of DNA elements in the human genome. Nature, 489(7414), 57–74.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0"/>
        </w:rPr>
        <w:t>Lewis, E. M., et al. (2024)</w:t>
      </w:r>
      <w:r>
        <w:rPr>
          <w:rFonts w:ascii="Times New Roman" w:hAnsi="Times New Roman"/>
          <w:color w:val="000000"/>
          <w:sz w:val="20"/>
        </w:rPr>
        <w:t>. Single-cell enhancer perturbation screens identify non-coding somatic mutation networks in human triple-negative breast cancer. Cell Genomics, 4(2), 100488.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0"/>
        </w:rPr>
        <w:t xml:space="preserve">Lundberg, S. M., et al. (2020). From local explanations to global understanding with explainable </w:t>
      </w:r>
      <w:r>
        <w:rPr>
          <w:rFonts w:ascii="Times New Roman" w:hAnsi="Times New Roman"/>
          <w:color w:val="000000"/>
          <w:sz w:val="20"/>
        </w:rPr>
        <w:t>AI for trees. Nature Machine Intelligence, 2(1), 56–67.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0"/>
        </w:rPr>
        <w:t>Pearl, J. (2009). Causality: Models, Reasoning, and Inference (2nd ed.). Cambridge University Press.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0"/>
        </w:rPr>
        <w:t>Shojaee, A., &amp; Huang, S.-S. C. (2023). Robust discovery of gene regulatory networks. Briefings in B</w:t>
      </w:r>
      <w:r>
        <w:rPr>
          <w:rFonts w:ascii="Times New Roman" w:hAnsi="Times New Roman"/>
          <w:color w:val="000000"/>
          <w:sz w:val="20"/>
        </w:rPr>
        <w:t>ioinformatics, 24(5), bbad258.</w:t>
      </w:r>
    </w:p>
    <w:p w:rsidR="00FF351A" w:rsidRDefault="00EC2230">
      <w:pPr>
        <w:spacing w:before="40" w:after="40"/>
        <w:ind w:left="360"/>
        <w:jc w:val="both"/>
      </w:pPr>
      <w:r>
        <w:rPr>
          <w:rFonts w:ascii="Times New Roman" w:hAnsi="Times New Roman"/>
          <w:color w:val="000000"/>
          <w:sz w:val="20"/>
        </w:rPr>
        <w:t>Zheng, X., et al. (2018). DAGs with NO TEARS: Continuous optimization for structure learning. NeurIPS, 31, 9472–9483.</w:t>
      </w:r>
    </w:p>
    <w:sectPr w:rsidR="00FF351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C2230"/>
    <w:rsid w:val="00FC693F"/>
    <w:rsid w:val="00FF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ABD58"/>
  <w14:defaultImageDpi w14:val="300"/>
  <w15:docId w15:val="{EA6B4739-E547-49CA-9F39-0B36A9CF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194FC3-65A6-450D-9C13-871D6B6B0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4039</Words>
  <Characters>23028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R Computer</cp:lastModifiedBy>
  <cp:revision>2</cp:revision>
  <dcterms:created xsi:type="dcterms:W3CDTF">2013-12-23T23:15:00Z</dcterms:created>
  <dcterms:modified xsi:type="dcterms:W3CDTF">2026-10-23T13:14:00Z</dcterms:modified>
  <cp:category/>
</cp:coreProperties>
</file>