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7B172" w14:textId="41D77BD1" w:rsidR="00276138" w:rsidRPr="00241F88" w:rsidRDefault="007846DE" w:rsidP="007846DE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"/>
        </w:rPr>
      </w:pPr>
      <w:r w:rsidRPr="00241F88">
        <w:rPr>
          <w:rFonts w:ascii="Arial" w:hAnsi="Arial" w:cs="Arial"/>
          <w:b/>
          <w:bCs/>
          <w:color w:val="000000" w:themeColor="text1"/>
          <w:sz w:val="24"/>
          <w:szCs w:val="24"/>
          <w:lang w:val="en"/>
        </w:rPr>
        <w:t xml:space="preserve">Figure </w:t>
      </w:r>
      <w:r w:rsidR="00D01369" w:rsidRPr="00241F88">
        <w:rPr>
          <w:rFonts w:ascii="Arial" w:hAnsi="Arial" w:cs="Arial"/>
          <w:b/>
          <w:bCs/>
          <w:color w:val="000000" w:themeColor="text1"/>
          <w:sz w:val="24"/>
          <w:szCs w:val="24"/>
          <w:lang w:val="en"/>
        </w:rPr>
        <w:t>3</w:t>
      </w:r>
    </w:p>
    <w:p w14:paraId="6ED7323E" w14:textId="7B58785C" w:rsidR="007846DE" w:rsidRPr="00241F88" w:rsidRDefault="00505F00" w:rsidP="007846DE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241F8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Age-related changes in Leydig </w:t>
      </w:r>
      <w:r w:rsidR="009B3735" w:rsidRPr="00241F8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</w:t>
      </w:r>
      <w:r w:rsidRPr="00241F8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ell</w:t>
      </w:r>
      <w:r w:rsidR="009B3735" w:rsidRPr="00241F8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s</w:t>
      </w:r>
      <w:r w:rsidRPr="00241F8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9B3735" w:rsidRPr="00241F8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(LC</w:t>
      </w:r>
      <w:r w:rsidR="003A7AD8" w:rsidRPr="00241F8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s</w:t>
      </w:r>
      <w:r w:rsidR="009B3735" w:rsidRPr="00241F8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) </w:t>
      </w:r>
      <w:r w:rsidRPr="00241F8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density in the </w:t>
      </w:r>
      <w:r w:rsidR="00E878F0" w:rsidRPr="00241F8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axolotl´s </w:t>
      </w:r>
      <w:r w:rsidRPr="00241F8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epidermis.</w:t>
      </w:r>
    </w:p>
    <w:p w14:paraId="2106F287" w14:textId="77777777" w:rsidR="000D458C" w:rsidRPr="00E878F0" w:rsidRDefault="000D458C" w:rsidP="007846DE">
      <w:pPr>
        <w:pStyle w:val="Textoindependiente"/>
        <w:jc w:val="both"/>
        <w:rPr>
          <w:rFonts w:ascii="Arial" w:hAnsi="Arial" w:cs="Arial"/>
          <w:sz w:val="20"/>
          <w:szCs w:val="20"/>
          <w:lang w:val="en-US"/>
        </w:rPr>
      </w:pPr>
    </w:p>
    <w:p w14:paraId="64E21CAD" w14:textId="73A0451D" w:rsidR="000D458C" w:rsidRDefault="000D458C" w:rsidP="000D458C">
      <w:pPr>
        <w:pStyle w:val="Textoindependiente"/>
        <w:jc w:val="both"/>
        <w:rPr>
          <w:rFonts w:ascii="Arial" w:eastAsia="Times New Roman" w:hAnsi="Arial" w:cs="Arial"/>
          <w:b/>
          <w:bCs/>
          <w:i/>
          <w:iCs/>
          <w:kern w:val="0"/>
          <w:sz w:val="20"/>
          <w:szCs w:val="20"/>
          <w:lang w:val="en-US" w:eastAsia="es-MX"/>
          <w14:ligatures w14:val="none"/>
        </w:rPr>
      </w:pPr>
      <w:r w:rsidRPr="000D458C">
        <w:rPr>
          <w:rFonts w:ascii="Arial" w:eastAsia="Times New Roman" w:hAnsi="Arial" w:cs="Arial"/>
          <w:b/>
          <w:bCs/>
          <w:i/>
          <w:iCs/>
          <w:noProof/>
          <w:kern w:val="0"/>
          <w:sz w:val="20"/>
          <w:szCs w:val="20"/>
          <w:lang w:val="en-US" w:eastAsia="es-MX"/>
          <w14:ligatures w14:val="none"/>
        </w:rPr>
        <w:drawing>
          <wp:inline distT="0" distB="0" distL="0" distR="0" wp14:anchorId="36974941" wp14:editId="2772823A">
            <wp:extent cx="5612130" cy="2510790"/>
            <wp:effectExtent l="0" t="0" r="7620" b="3810"/>
            <wp:docPr id="1719239571" name="Picture 2" descr="A graph with lines and a red rectang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39571" name="Picture 2" descr="A graph with lines and a red rectang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1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4F071" w14:textId="77777777" w:rsidR="002D2542" w:rsidRDefault="002D2542" w:rsidP="000D458C">
      <w:pPr>
        <w:pStyle w:val="Textoindependiente"/>
        <w:jc w:val="both"/>
        <w:rPr>
          <w:rFonts w:ascii="Arial" w:eastAsia="Times New Roman" w:hAnsi="Arial" w:cs="Arial"/>
          <w:b/>
          <w:bCs/>
          <w:i/>
          <w:iCs/>
          <w:kern w:val="0"/>
          <w:sz w:val="20"/>
          <w:szCs w:val="20"/>
          <w:lang w:val="en-US" w:eastAsia="es-MX"/>
          <w14:ligatures w14:val="none"/>
        </w:rPr>
      </w:pPr>
    </w:p>
    <w:p w14:paraId="15AD5B28" w14:textId="31EDABC4" w:rsidR="002D2542" w:rsidRPr="00241F88" w:rsidRDefault="002D2542" w:rsidP="000D458C">
      <w:pPr>
        <w:pStyle w:val="Textoindependiente"/>
        <w:jc w:val="both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en-US" w:eastAsia="es-MX"/>
          <w14:ligatures w14:val="none"/>
        </w:rPr>
      </w:pPr>
      <w:r w:rsidRPr="00241F88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val="en-US" w:eastAsia="es-MX"/>
          <w14:ligatures w14:val="none"/>
        </w:rPr>
        <w:t xml:space="preserve">Figure </w:t>
      </w:r>
      <w:r w:rsidR="00D01369" w:rsidRPr="00241F88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val="en-US" w:eastAsia="es-MX"/>
          <w14:ligatures w14:val="none"/>
        </w:rPr>
        <w:t>3</w:t>
      </w:r>
      <w:r w:rsidRPr="00241F88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val="en-US" w:eastAsia="es-MX"/>
          <w14:ligatures w14:val="none"/>
        </w:rPr>
        <w:t>.</w:t>
      </w:r>
      <w:r w:rsidRPr="00241F88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en-US" w:eastAsia="es-MX"/>
          <w14:ligatures w14:val="none"/>
        </w:rPr>
        <w:t xml:space="preserve"> </w:t>
      </w:r>
      <w:r w:rsidR="005145A5" w:rsidRPr="00241F88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en-US" w:eastAsia="es-MX"/>
          <w14:ligatures w14:val="none"/>
        </w:rPr>
        <w:t>Empirical cumulative distribution function (ECDF) illustrating the Leydig cell (LC</w:t>
      </w:r>
      <w:r w:rsidR="00747511" w:rsidRPr="00241F88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en-US" w:eastAsia="es-MX"/>
          <w14:ligatures w14:val="none"/>
        </w:rPr>
        <w:t>s</w:t>
      </w:r>
      <w:r w:rsidR="005145A5" w:rsidRPr="00241F88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en-US" w:eastAsia="es-MX"/>
          <w14:ligatures w14:val="none"/>
        </w:rPr>
        <w:t xml:space="preserve">) density per mm² across different </w:t>
      </w:r>
      <w:r w:rsidR="00F27ABE" w:rsidRPr="00241F88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en-US" w:eastAsia="es-MX"/>
          <w14:ligatures w14:val="none"/>
        </w:rPr>
        <w:t>ages</w:t>
      </w:r>
      <w:r w:rsidR="005145A5" w:rsidRPr="00241F88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en-US" w:eastAsia="es-MX"/>
          <w14:ligatures w14:val="none"/>
        </w:rPr>
        <w:t xml:space="preserve"> (4, 24, and 48 months). </w:t>
      </w:r>
      <w:r w:rsidR="009B3735" w:rsidRPr="00241F88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en-US" w:eastAsia="es-MX"/>
          <w14:ligatures w14:val="none"/>
        </w:rPr>
        <w:t>The inset (red box) provides a magnified view near the median density, emphasizing clear</w:t>
      </w:r>
      <w:r w:rsidR="00C433DB" w:rsidRPr="00241F88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en-US" w:eastAsia="es-MX"/>
          <w14:ligatures w14:val="none"/>
        </w:rPr>
        <w:t>,</w:t>
      </w:r>
      <w:r w:rsidR="009B3735" w:rsidRPr="00241F88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en-US" w:eastAsia="es-MX"/>
          <w14:ligatures w14:val="none"/>
        </w:rPr>
        <w:t xml:space="preserve"> age-dependent shifts.</w:t>
      </w:r>
      <w:r w:rsidR="005145A5" w:rsidRPr="00241F88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en-US" w:eastAsia="es-MX"/>
          <w14:ligatures w14:val="none"/>
        </w:rPr>
        <w:t xml:space="preserve"> </w:t>
      </w:r>
      <w:r w:rsidR="009B3735" w:rsidRPr="00241F88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en-US" w:eastAsia="es-MX"/>
          <w14:ligatures w14:val="none"/>
        </w:rPr>
        <w:t>Older groups display a leftward displacement, indicating reduced LC density.</w:t>
      </w:r>
      <w:r w:rsidR="005145A5" w:rsidRPr="00241F88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en-US" w:eastAsia="es-MX"/>
          <w14:ligatures w14:val="none"/>
        </w:rPr>
        <w:t xml:space="preserve"> Statistical analysis revealed significant differences between age groups: Mann–Whitney U test </w:t>
      </w:r>
      <w:r w:rsidR="008E72FB" w:rsidRPr="00241F88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en-US" w:eastAsia="es-MX"/>
          <w14:ligatures w14:val="none"/>
        </w:rPr>
        <w:t>showed</w:t>
      </w:r>
      <w:r w:rsidR="005145A5" w:rsidRPr="00241F88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en-US" w:eastAsia="es-MX"/>
          <w14:ligatures w14:val="none"/>
        </w:rPr>
        <w:t xml:space="preserve"> significant differences between 4 and 48 months (p = 5.86×10</w:t>
      </w:r>
      <w:r w:rsidR="005145A5" w:rsidRPr="00241F88">
        <w:rPr>
          <w:rFonts w:ascii="Cambria Math" w:eastAsia="Times New Roman" w:hAnsi="Cambria Math" w:cs="Cambria Math"/>
          <w:color w:val="000000" w:themeColor="text1"/>
          <w:kern w:val="0"/>
          <w:sz w:val="20"/>
          <w:szCs w:val="20"/>
          <w:lang w:val="en-US" w:eastAsia="es-MX"/>
          <w14:ligatures w14:val="none"/>
        </w:rPr>
        <w:t>⁻</w:t>
      </w:r>
      <w:r w:rsidR="005145A5" w:rsidRPr="00241F88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en-US" w:eastAsia="es-MX"/>
          <w14:ligatures w14:val="none"/>
        </w:rPr>
        <w:t>¹⁸) and between 24 and 48 months (p = 1.57×10</w:t>
      </w:r>
      <w:r w:rsidR="005145A5" w:rsidRPr="00241F88">
        <w:rPr>
          <w:rFonts w:ascii="Cambria Math" w:eastAsia="Times New Roman" w:hAnsi="Cambria Math" w:cs="Cambria Math"/>
          <w:color w:val="000000" w:themeColor="text1"/>
          <w:kern w:val="0"/>
          <w:sz w:val="20"/>
          <w:szCs w:val="20"/>
          <w:lang w:val="en-US" w:eastAsia="es-MX"/>
          <w14:ligatures w14:val="none"/>
        </w:rPr>
        <w:t>⁻</w:t>
      </w:r>
      <w:r w:rsidR="005145A5" w:rsidRPr="00241F88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en-US" w:eastAsia="es-MX"/>
          <w14:ligatures w14:val="none"/>
        </w:rPr>
        <w:t xml:space="preserve">¹³), but no significant difference between 4 and 24 months (p = 0.577). Kolmogorov–Smirnov tests also </w:t>
      </w:r>
      <w:r w:rsidR="00AD7BE2" w:rsidRPr="00241F88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en-US" w:eastAsia="es-MX"/>
          <w14:ligatures w14:val="none"/>
        </w:rPr>
        <w:t>unveiled</w:t>
      </w:r>
      <w:r w:rsidR="005145A5" w:rsidRPr="00241F88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en-US" w:eastAsia="es-MX"/>
          <w14:ligatures w14:val="none"/>
        </w:rPr>
        <w:t xml:space="preserve"> </w:t>
      </w:r>
      <w:r w:rsidR="00352939" w:rsidRPr="00241F88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en-US" w:eastAsia="es-MX"/>
          <w14:ligatures w14:val="none"/>
        </w:rPr>
        <w:t>substantial</w:t>
      </w:r>
      <w:r w:rsidR="005145A5" w:rsidRPr="00241F88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en-US" w:eastAsia="es-MX"/>
          <w14:ligatures w14:val="none"/>
        </w:rPr>
        <w:t xml:space="preserve"> differences in distribution shape among all age comparisons: 4 vs. 24 months (p = 4.19×10</w:t>
      </w:r>
      <w:r w:rsidR="005145A5" w:rsidRPr="00241F88">
        <w:rPr>
          <w:rFonts w:ascii="Cambria Math" w:eastAsia="Times New Roman" w:hAnsi="Cambria Math" w:cs="Cambria Math"/>
          <w:color w:val="000000" w:themeColor="text1"/>
          <w:kern w:val="0"/>
          <w:sz w:val="20"/>
          <w:szCs w:val="20"/>
          <w:lang w:val="en-US" w:eastAsia="es-MX"/>
          <w14:ligatures w14:val="none"/>
        </w:rPr>
        <w:t>⁻</w:t>
      </w:r>
      <w:r w:rsidR="005145A5" w:rsidRPr="00241F88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en-US" w:eastAsia="es-MX"/>
          <w14:ligatures w14:val="none"/>
        </w:rPr>
        <w:t>⁷), 4 vs. 48 months (p = 5.05×10</w:t>
      </w:r>
      <w:r w:rsidR="005145A5" w:rsidRPr="00241F88">
        <w:rPr>
          <w:rFonts w:ascii="Cambria Math" w:eastAsia="Times New Roman" w:hAnsi="Cambria Math" w:cs="Cambria Math"/>
          <w:color w:val="000000" w:themeColor="text1"/>
          <w:kern w:val="0"/>
          <w:sz w:val="20"/>
          <w:szCs w:val="20"/>
          <w:lang w:val="en-US" w:eastAsia="es-MX"/>
          <w14:ligatures w14:val="none"/>
        </w:rPr>
        <w:t>⁻</w:t>
      </w:r>
      <w:r w:rsidR="005145A5" w:rsidRPr="00241F88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en-US" w:eastAsia="es-MX"/>
          <w14:ligatures w14:val="none"/>
        </w:rPr>
        <w:t>¹⁴), and 24 vs. 48 months (p = 1.24×10</w:t>
      </w:r>
      <w:r w:rsidR="005145A5" w:rsidRPr="00241F88">
        <w:rPr>
          <w:rFonts w:ascii="Cambria Math" w:eastAsia="Times New Roman" w:hAnsi="Cambria Math" w:cs="Cambria Math"/>
          <w:color w:val="000000" w:themeColor="text1"/>
          <w:kern w:val="0"/>
          <w:sz w:val="20"/>
          <w:szCs w:val="20"/>
          <w:lang w:val="en-US" w:eastAsia="es-MX"/>
          <w14:ligatures w14:val="none"/>
        </w:rPr>
        <w:t>⁻</w:t>
      </w:r>
      <w:r w:rsidR="005145A5" w:rsidRPr="00241F88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val="en-US" w:eastAsia="es-MX"/>
          <w14:ligatures w14:val="none"/>
        </w:rPr>
        <w:t>¹⁵).</w:t>
      </w:r>
    </w:p>
    <w:p w14:paraId="41E298DD" w14:textId="77777777" w:rsidR="009B3735" w:rsidRPr="00241F88" w:rsidRDefault="009B3735" w:rsidP="000D458C">
      <w:pPr>
        <w:pStyle w:val="Textoindependiente"/>
        <w:jc w:val="both"/>
        <w:rPr>
          <w:rFonts w:ascii="Arial" w:eastAsia="Times New Roman" w:hAnsi="Arial" w:cs="Arial"/>
          <w:kern w:val="0"/>
          <w:sz w:val="20"/>
          <w:szCs w:val="20"/>
          <w:lang w:val="en-US" w:eastAsia="es-MX"/>
          <w14:ligatures w14:val="none"/>
        </w:rPr>
      </w:pPr>
    </w:p>
    <w:p w14:paraId="41A99E7C" w14:textId="77777777" w:rsidR="00136CA0" w:rsidRDefault="00136CA0" w:rsidP="000D458C">
      <w:pPr>
        <w:pStyle w:val="Textoindependiente"/>
        <w:jc w:val="both"/>
        <w:rPr>
          <w:rFonts w:ascii="Arial" w:eastAsia="Times New Roman" w:hAnsi="Arial" w:cs="Arial"/>
          <w:kern w:val="0"/>
          <w:sz w:val="20"/>
          <w:szCs w:val="20"/>
          <w:lang w:val="en-US" w:eastAsia="es-MX"/>
          <w14:ligatures w14:val="none"/>
        </w:rPr>
      </w:pPr>
    </w:p>
    <w:sectPr w:rsidR="00136C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6DE"/>
    <w:rsid w:val="00047B96"/>
    <w:rsid w:val="000C2637"/>
    <w:rsid w:val="000D3B15"/>
    <w:rsid w:val="000D458C"/>
    <w:rsid w:val="00136CA0"/>
    <w:rsid w:val="001B3AB7"/>
    <w:rsid w:val="001D5835"/>
    <w:rsid w:val="002246E5"/>
    <w:rsid w:val="00241F88"/>
    <w:rsid w:val="002730EF"/>
    <w:rsid w:val="00274BCF"/>
    <w:rsid w:val="00276138"/>
    <w:rsid w:val="00297E38"/>
    <w:rsid w:val="002D2542"/>
    <w:rsid w:val="002D5AFF"/>
    <w:rsid w:val="00352939"/>
    <w:rsid w:val="00366EE9"/>
    <w:rsid w:val="003A6CEE"/>
    <w:rsid w:val="003A7AD8"/>
    <w:rsid w:val="003E0992"/>
    <w:rsid w:val="00411FD3"/>
    <w:rsid w:val="00505F00"/>
    <w:rsid w:val="005145A5"/>
    <w:rsid w:val="00523BF3"/>
    <w:rsid w:val="00645D81"/>
    <w:rsid w:val="00650E54"/>
    <w:rsid w:val="00701BD7"/>
    <w:rsid w:val="00747511"/>
    <w:rsid w:val="007530FC"/>
    <w:rsid w:val="007846DE"/>
    <w:rsid w:val="007E787B"/>
    <w:rsid w:val="008D27EF"/>
    <w:rsid w:val="008E72FB"/>
    <w:rsid w:val="00965007"/>
    <w:rsid w:val="009B3735"/>
    <w:rsid w:val="00A82247"/>
    <w:rsid w:val="00A8291B"/>
    <w:rsid w:val="00AD7BE2"/>
    <w:rsid w:val="00B43C74"/>
    <w:rsid w:val="00BD4980"/>
    <w:rsid w:val="00C11344"/>
    <w:rsid w:val="00C1627F"/>
    <w:rsid w:val="00C433DB"/>
    <w:rsid w:val="00D01369"/>
    <w:rsid w:val="00D06F7F"/>
    <w:rsid w:val="00DF1C8D"/>
    <w:rsid w:val="00E878F0"/>
    <w:rsid w:val="00EE3275"/>
    <w:rsid w:val="00EE4596"/>
    <w:rsid w:val="00EE762D"/>
    <w:rsid w:val="00F27ABE"/>
    <w:rsid w:val="00FC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1B5FE8"/>
  <w15:chartTrackingRefBased/>
  <w15:docId w15:val="{7B07C827-9514-48B3-9ECB-6CFF902EC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6DE"/>
  </w:style>
  <w:style w:type="paragraph" w:styleId="Ttulo1">
    <w:name w:val="heading 1"/>
    <w:basedOn w:val="Normal"/>
    <w:next w:val="Normal"/>
    <w:link w:val="Ttulo1Car"/>
    <w:uiPriority w:val="9"/>
    <w:qFormat/>
    <w:rsid w:val="007846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46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46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46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46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46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46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46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46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46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46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46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46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46D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46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46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46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46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46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4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46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4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46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46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46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46D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4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46D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46DE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99"/>
    <w:unhideWhenUsed/>
    <w:rsid w:val="007846D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846DE"/>
  </w:style>
  <w:style w:type="paragraph" w:styleId="Revisin">
    <w:name w:val="Revision"/>
    <w:hidden/>
    <w:uiPriority w:val="99"/>
    <w:semiHidden/>
    <w:rsid w:val="009650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144</Words>
  <Characters>793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BETANCOURT LEON</dc:creator>
  <cp:keywords/>
  <dc:description/>
  <cp:lastModifiedBy>OMAR BETANCOURT LEON</cp:lastModifiedBy>
  <cp:revision>20</cp:revision>
  <dcterms:created xsi:type="dcterms:W3CDTF">2025-03-05T04:21:00Z</dcterms:created>
  <dcterms:modified xsi:type="dcterms:W3CDTF">2025-03-31T21:22:00Z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bbc076617f572467fb30fdf526123ca1e57362d76b81fc04b1440e38899f59bd</vt:lpwstr>
  </property>
</Properties>
</file>