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13AF" w14:textId="77777777" w:rsidR="004323CA" w:rsidRDefault="004323CA" w:rsidP="004323CA">
      <w:pPr>
        <w:rPr>
          <w:rFonts w:ascii="Arial" w:hAnsi="Arial" w:cs="Arial"/>
          <w:b/>
          <w:bCs/>
          <w:lang w:val="en-US"/>
        </w:rPr>
      </w:pPr>
      <w:r w:rsidRPr="00C1466D">
        <w:rPr>
          <w:rFonts w:ascii="Arial" w:hAnsi="Arial" w:cs="Arial"/>
          <w:b/>
          <w:bCs/>
          <w:lang w:val="en-US"/>
        </w:rPr>
        <w:t xml:space="preserve">Results of the Shapiro-Wilk Test for </w:t>
      </w:r>
      <w:r>
        <w:rPr>
          <w:rFonts w:ascii="Arial" w:hAnsi="Arial" w:cs="Arial"/>
          <w:b/>
          <w:bCs/>
          <w:lang w:val="en-US"/>
        </w:rPr>
        <w:t>n</w:t>
      </w:r>
      <w:r w:rsidRPr="00C1466D">
        <w:rPr>
          <w:rFonts w:ascii="Arial" w:hAnsi="Arial" w:cs="Arial"/>
          <w:b/>
          <w:bCs/>
          <w:lang w:val="en-US"/>
        </w:rPr>
        <w:t xml:space="preserve">ormality on Leydig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ell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ounts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 xml:space="preserve">cross </w:t>
      </w:r>
      <w:r>
        <w:rPr>
          <w:rFonts w:ascii="Arial" w:hAnsi="Arial" w:cs="Arial"/>
          <w:b/>
          <w:bCs/>
          <w:lang w:val="en-US"/>
        </w:rPr>
        <w:t>v</w:t>
      </w:r>
      <w:r w:rsidRPr="00C1466D">
        <w:rPr>
          <w:rFonts w:ascii="Arial" w:hAnsi="Arial" w:cs="Arial"/>
          <w:b/>
          <w:bCs/>
          <w:lang w:val="en-US"/>
        </w:rPr>
        <w:t xml:space="preserve">arious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utaneous </w:t>
      </w:r>
      <w:r>
        <w:rPr>
          <w:rFonts w:ascii="Arial" w:hAnsi="Arial" w:cs="Arial"/>
          <w:b/>
          <w:bCs/>
          <w:lang w:val="en-US"/>
        </w:rPr>
        <w:t>r</w:t>
      </w:r>
      <w:r w:rsidRPr="00C1466D">
        <w:rPr>
          <w:rFonts w:ascii="Arial" w:hAnsi="Arial" w:cs="Arial"/>
          <w:b/>
          <w:bCs/>
          <w:lang w:val="en-US"/>
        </w:rPr>
        <w:t xml:space="preserve">egions and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 xml:space="preserve">ges in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>xolotls</w:t>
      </w:r>
    </w:p>
    <w:p w14:paraId="0236EAE3" w14:textId="77777777" w:rsidR="004323CA" w:rsidRDefault="004323CA" w:rsidP="004323CA">
      <w:pPr>
        <w:rPr>
          <w:rFonts w:ascii="Arial" w:hAnsi="Arial" w:cs="Arial"/>
          <w:b/>
          <w:bCs/>
          <w:lang w:val="en-US"/>
        </w:rPr>
      </w:pPr>
    </w:p>
    <w:tbl>
      <w:tblPr>
        <w:tblW w:w="4720" w:type="dxa"/>
        <w:tblInd w:w="2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2120"/>
      </w:tblGrid>
      <w:tr w:rsidR="004323CA" w:rsidRPr="00E246F3" w14:paraId="0902D010" w14:textId="77777777" w:rsidTr="00B71C3C">
        <w:trPr>
          <w:trHeight w:val="6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F4F4A5" w14:textId="77777777" w:rsidR="004323CA" w:rsidRDefault="004323CA" w:rsidP="00B71C3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5A3023" w14:textId="77777777" w:rsidR="004323CA" w:rsidRDefault="004323CA" w:rsidP="00B71C3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5F59286" w14:textId="77777777" w:rsidR="004323CA" w:rsidRPr="00E246F3" w:rsidRDefault="004323CA" w:rsidP="00B71C3C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246F3">
              <w:rPr>
                <w:rFonts w:ascii="Calibri" w:hAnsi="Calibri" w:cs="Calibri"/>
                <w:b/>
                <w:bCs/>
                <w:color w:val="000000"/>
                <w:lang w:val="en-US"/>
              </w:rPr>
              <w:t>Normal Distribution</w:t>
            </w:r>
            <w:r w:rsidRPr="00E246F3">
              <w:rPr>
                <w:rFonts w:ascii="Calibri" w:hAnsi="Calibri" w:cs="Calibri"/>
                <w:b/>
                <w:bCs/>
                <w:color w:val="000000"/>
                <w:lang w:val="en-US"/>
              </w:rPr>
              <w:br/>
              <w:t>(Shapiro Wilk Test)</w:t>
            </w:r>
          </w:p>
        </w:tc>
      </w:tr>
      <w:tr w:rsidR="004323CA" w14:paraId="7D986B05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BF49DD3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7815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209D0B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1AAC2562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B4EA9A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CF8232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AC2B52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0B08BF42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922EB7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FAC97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D7CE27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22587F22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699DFA26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2865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C382E6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6C91A898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811F5C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0F60AA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FC0D2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1060BCBE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AFDD32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AED83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096B313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59E90B93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6A357A85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AA34AF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CB3D46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3B29CCD5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C6DE62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391FA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2A410E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0DFD116C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DA3C977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4BC0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C5D9A80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6C78CE60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0920572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7BC82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13795C1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6AF0CA85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1921AB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185A7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A535BA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7C2E43B3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296460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9622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507ED7A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6120023C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15E816D3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06C9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813228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6AA7E629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402A14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F2B0D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077B000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4D6399B4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6359DE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71C5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0079172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41C877AF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10C7FB0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B28A0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0A269F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10EA13A3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2A44293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ADE9D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A5B055F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678EF865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F000D1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2D9A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8650C20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26059634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2DC338C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2818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F205264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1FAD7ABB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F60147E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FF0A2D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A36497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5268646E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D4A0E41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11C7E6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E2EBF2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0AFD0678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9E1B651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BF98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3414B92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7F932C60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7EDE8AF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4592A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ADD870F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41B664BF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C1A6E96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115951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D9C56B0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21477997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D43BFD1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272E3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39E76FB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586CFEDE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E1059D1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52771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AAFE18F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10E00777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87A754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1C41D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1FD6387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223A0D2E" w14:textId="77777777" w:rsidTr="00B71C3C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D8B1666" w14:textId="77777777" w:rsidR="004323CA" w:rsidRDefault="004323CA" w:rsidP="00B71C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753C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4858B33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4323CA" w14:paraId="07EE7D4D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818558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6289C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3A0B938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323CA" w14:paraId="6E89D3E1" w14:textId="77777777" w:rsidTr="00B71C3C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349B249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49870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8CD7EE5" w14:textId="77777777" w:rsidR="004323CA" w:rsidRDefault="004323CA" w:rsidP="00B71C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</w:tbl>
    <w:p w14:paraId="389263E3" w14:textId="77777777" w:rsidR="004323CA" w:rsidRDefault="004323CA" w:rsidP="004323CA">
      <w:pPr>
        <w:rPr>
          <w:rFonts w:ascii="Arial" w:hAnsi="Arial" w:cs="Arial"/>
          <w:b/>
          <w:bCs/>
          <w:lang w:val="en-US"/>
        </w:rPr>
      </w:pPr>
    </w:p>
    <w:p w14:paraId="4737A45B" w14:textId="237C0AB0" w:rsidR="00276138" w:rsidRPr="00E246F3" w:rsidRDefault="004323CA" w:rsidP="00E246F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4323CA">
        <w:rPr>
          <w:rFonts w:ascii="Arial" w:hAnsi="Arial" w:cs="Arial"/>
          <w:b/>
          <w:bCs/>
          <w:sz w:val="20"/>
          <w:szCs w:val="20"/>
          <w:lang w:val="en-US"/>
        </w:rPr>
        <w:t xml:space="preserve">Supplementary Table I. </w:t>
      </w:r>
      <w:r w:rsidRPr="004323CA">
        <w:rPr>
          <w:rFonts w:ascii="Arial" w:hAnsi="Arial" w:cs="Arial"/>
          <w:sz w:val="20"/>
          <w:szCs w:val="20"/>
          <w:lang w:val="en-US"/>
        </w:rPr>
        <w:t>Results of the Shapiro-Wilk Test for Normality on Leydig cell counts across various cutaneous regions (DSH, VSH, DST/F, VST/F, RIF, LIF, DST/H, VST/H, CRS, VST) and three axolotl ages: 4 months, 24 months, and 48 months. The table indicates whether the Leydig cell count distribution is normal (TRUE) or not (FALSE) for each region and age group.</w:t>
      </w:r>
    </w:p>
    <w:sectPr w:rsidR="00276138" w:rsidRPr="00E2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A"/>
    <w:rsid w:val="00111262"/>
    <w:rsid w:val="001B3AB7"/>
    <w:rsid w:val="00276138"/>
    <w:rsid w:val="004323CA"/>
    <w:rsid w:val="005D2384"/>
    <w:rsid w:val="00A82247"/>
    <w:rsid w:val="00A8291B"/>
    <w:rsid w:val="00E2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19A1"/>
  <w15:chartTrackingRefBased/>
  <w15:docId w15:val="{038D5B17-0BB7-4F6E-A582-C36FE4A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23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3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3C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3C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3C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3C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3C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3C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3C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3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3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3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3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3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3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3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3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3C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3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3C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323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3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323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3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2</cp:revision>
  <dcterms:created xsi:type="dcterms:W3CDTF">2024-09-04T18:46:00Z</dcterms:created>
  <dcterms:modified xsi:type="dcterms:W3CDTF">2024-09-04T18:54:00Z</dcterms:modified>
</cp:coreProperties>
</file>