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rFonts w:ascii="Calibri" w:hAnsi="Calibri"/>
          <w:b/>
          <w:i w:val="0"/>
          <w:color w:val="2E74B5"/>
          <w:sz w:val="19"/>
        </w:rPr>
        <w:t>PAKISTAN AI POLICY MONITOR</w:t>
      </w:r>
    </w:p>
    <w:p>
      <w:pPr>
        <w:pStyle w:val="Title"/>
      </w:pPr>
      <w:r>
        <w:rPr>
          <w:rFonts w:ascii="Calibri" w:hAnsi="Calibri"/>
          <w:b/>
          <w:i w:val="0"/>
          <w:color w:val="0B2545"/>
          <w:sz w:val="50"/>
        </w:rPr>
        <w:t>Pakistan AI Policy &amp; Infrastructure</w:t>
        <w:br/>
        <w:t>Daily Brief — 22 August 2026</w:t>
      </w:r>
    </w:p>
    <w:p>
      <w:pPr>
        <w:pStyle w:val="Subtitle"/>
      </w:pPr>
      <w:r>
        <w:rPr>
          <w:rFonts w:ascii="Calibri" w:hAnsi="Calibri"/>
          <w:b w:val="0"/>
          <w:i w:val="0"/>
          <w:color w:val="5B6571"/>
          <w:sz w:val="24"/>
        </w:rPr>
        <w:t>Strict post-cutoff update | Policy, data governance, cyber, infrastructure and investment</w:t>
      </w:r>
    </w:p>
    <w:p>
      <w:pPr>
        <w:spacing w:after="40"/>
      </w:pPr>
      <w:r>
        <w:rPr>
          <w:rFonts w:ascii="Calibri" w:hAnsi="Calibri"/>
          <w:b/>
          <w:i w:val="0"/>
          <w:color w:val="1F4D78"/>
          <w:sz w:val="20"/>
        </w:rPr>
        <w:t xml:space="preserve">Coverage window: </w:t>
      </w:r>
      <w:r>
        <w:rPr>
          <w:rFonts w:ascii="Calibri" w:hAnsi="Calibri"/>
          <w:b w:val="0"/>
          <w:i w:val="0"/>
          <w:color w:val="20262D"/>
          <w:sz w:val="20"/>
        </w:rPr>
        <w:t>Approximately 19:52–20:05 PKT, 22 August 2026</w:t>
      </w:r>
    </w:p>
    <w:p>
      <w:pPr>
        <w:spacing w:after="40"/>
      </w:pPr>
      <w:r>
        <w:rPr>
          <w:rFonts w:ascii="Calibri" w:hAnsi="Calibri"/>
          <w:b/>
          <w:i w:val="0"/>
          <w:color w:val="1F4D78"/>
          <w:sz w:val="20"/>
        </w:rPr>
        <w:t xml:space="preserve">Previous cutoff: </w:t>
      </w:r>
      <w:r>
        <w:rPr>
          <w:rFonts w:ascii="Calibri" w:hAnsi="Calibri"/>
          <w:b w:val="0"/>
          <w:i w:val="0"/>
          <w:color w:val="20262D"/>
          <w:sz w:val="20"/>
        </w:rPr>
        <w:t>Approximately 19:52 PKT, 22 August 2026</w:t>
      </w:r>
    </w:p>
    <w:p>
      <w:pPr>
        <w:spacing w:after="40"/>
      </w:pPr>
      <w:r>
        <w:rPr>
          <w:rFonts w:ascii="Calibri" w:hAnsi="Calibri"/>
          <w:b/>
          <w:i w:val="0"/>
          <w:color w:val="1F4D78"/>
          <w:sz w:val="20"/>
        </w:rPr>
        <w:t xml:space="preserve">Research completed: </w:t>
      </w:r>
      <w:r>
        <w:rPr>
          <w:rFonts w:ascii="Calibri" w:hAnsi="Calibri"/>
          <w:b w:val="0"/>
          <w:i w:val="0"/>
          <w:color w:val="20262D"/>
          <w:sz w:val="20"/>
        </w:rPr>
        <w:t>20:05 PKT / 15:05 UTC, 22 August 2026</w:t>
      </w:r>
    </w:p>
    <w:p>
      <w:pPr>
        <w:spacing w:after="40"/>
      </w:pPr>
      <w:r>
        <w:rPr>
          <w:rFonts w:ascii="Calibri" w:hAnsi="Calibri"/>
          <w:b/>
          <w:i w:val="0"/>
          <w:color w:val="1F4D78"/>
          <w:sz w:val="20"/>
        </w:rPr>
        <w:t xml:space="preserve">Overall assessment: </w:t>
      </w:r>
      <w:r>
        <w:rPr>
          <w:rFonts w:ascii="Calibri" w:hAnsi="Calibri"/>
          <w:b w:val="0"/>
          <w:i w:val="0"/>
          <w:color w:val="20262D"/>
          <w:sz w:val="20"/>
        </w:rPr>
        <w:t>No material, timestamp-verifiable in-scope development</w:t>
      </w:r>
    </w:p>
    <w:p>
      <w:pPr>
        <w:spacing w:after="40"/>
      </w:pPr>
      <w:r>
        <w:rPr>
          <w:rFonts w:ascii="Calibri" w:hAnsi="Calibri"/>
          <w:b/>
          <w:i w:val="0"/>
          <w:color w:val="1F4D78"/>
          <w:sz w:val="20"/>
        </w:rPr>
        <w:t xml:space="preserve">Overall confidence: </w:t>
      </w:r>
      <w:r>
        <w:rPr>
          <w:rFonts w:ascii="Calibri" w:hAnsi="Calibri"/>
          <w:b w:val="0"/>
          <w:i w:val="0"/>
          <w:color w:val="20262D"/>
          <w:sz w:val="20"/>
        </w:rPr>
        <w:t>Medium-high; narrow interval and publication lag remain limitations</w:t>
      </w:r>
    </w:p>
    <w:p>
      <w:pPr>
        <w:pStyle w:val="Callout"/>
        <w:shd w:fill="F4F6F9"/>
      </w:pPr>
      <w:r>
        <w:rPr>
          <w:rFonts w:ascii="Calibri" w:hAnsi="Calibri"/>
          <w:b/>
          <w:i w:val="0"/>
          <w:color w:val="0B2545"/>
          <w:sz w:val="22"/>
        </w:rPr>
        <w:t xml:space="preserve">Bottom line  </w:t>
      </w:r>
      <w:r>
        <w:rPr>
          <w:rFonts w:ascii="Calibri" w:hAnsi="Calibri"/>
          <w:b w:val="0"/>
          <w:i w:val="0"/>
          <w:color w:val="20262D"/>
          <w:sz w:val="22"/>
        </w:rPr>
        <w:t>The legal, regulatory and infrastructure baseline did not move after the prior briefing. Two PPRA contract records appeared in the live total, but both were dated 21 August and were unrelated to AI or digital infrastructure.</w:t>
      </w:r>
    </w:p>
    <w:p>
      <w:pPr>
        <w:pStyle w:val="Heading1"/>
      </w:pPr>
      <w:r>
        <w:t>1. Executive summary</w:t>
      </w:r>
    </w:p>
    <w:p>
      <w:pPr>
        <w:numPr>
          <w:ilvl w:val="0"/>
          <w:numId w:val="50"/>
        </w:numPr>
        <w:pStyle w:val="MonitorBullet"/>
      </w:pPr>
      <w:r>
        <w:rPr>
          <w:rFonts w:ascii="Calibri" w:hAnsi="Calibri"/>
          <w:b/>
          <w:i w:val="0"/>
          <w:color w:val="20262D"/>
          <w:sz w:val="22"/>
        </w:rPr>
        <w:t>No material delta:</w:t>
      </w:r>
      <w:r>
        <w:rPr>
          <w:rFonts w:ascii="Calibri" w:hAnsi="Calibri"/>
          <w:b w:val="0"/>
          <w:i w:val="0"/>
          <w:color w:val="20262D"/>
          <w:sz w:val="22"/>
        </w:rPr>
        <w:t xml:space="preserve"> no new AI law, strategy approval, general data-protection measure, cyber directive, telecom/platform rule, infrastructure milestone, funding decision, tender award, partnership or major investment was verified after 19:52 PKT.</w:t>
      </w:r>
    </w:p>
    <w:p>
      <w:pPr>
        <w:numPr>
          <w:ilvl w:val="0"/>
          <w:numId w:val="50"/>
        </w:numPr>
        <w:pStyle w:val="MonitorBullet"/>
      </w:pPr>
      <w:r>
        <w:rPr>
          <w:rFonts w:ascii="Calibri" w:hAnsi="Calibri"/>
          <w:b/>
          <w:i w:val="0"/>
          <w:color w:val="20262D"/>
          <w:sz w:val="22"/>
        </w:rPr>
        <w:t>Status discipline remains essential:</w:t>
      </w:r>
      <w:r>
        <w:rPr>
          <w:rFonts w:ascii="Calibri" w:hAnsi="Calibri"/>
          <w:b w:val="0"/>
          <w:i w:val="0"/>
          <w:color w:val="20262D"/>
          <w:sz w:val="22"/>
        </w:rPr>
        <w:t xml:space="preserve"> the National AI Policy is approved, while the Data Governance Policy 2026 remains draft/finalisation-stage. Neither listing establishes a new implementation instrument in this window.</w:t>
      </w:r>
    </w:p>
    <w:p>
      <w:pPr>
        <w:numPr>
          <w:ilvl w:val="0"/>
          <w:numId w:val="50"/>
        </w:numPr>
        <w:pStyle w:val="MonitorBullet"/>
      </w:pPr>
      <w:r>
        <w:rPr>
          <w:rFonts w:ascii="Calibri" w:hAnsi="Calibri"/>
          <w:b/>
          <w:i w:val="0"/>
          <w:color w:val="20262D"/>
          <w:sz w:val="22"/>
        </w:rPr>
        <w:t>Data and cyber baseline unchanged:</w:t>
      </w:r>
      <w:r>
        <w:rPr>
          <w:rFonts w:ascii="Calibri" w:hAnsi="Calibri"/>
          <w:b w:val="0"/>
          <w:i w:val="0"/>
          <w:color w:val="20262D"/>
          <w:sz w:val="22"/>
        </w:rPr>
        <w:t xml:space="preserve"> PVARA’s 21 August sector regulations and open application portal remain operative evidence for virtual-asset firms; PKCERT remains capped at Advisory 15; no new licence, NOC or enforcement action was found.</w:t>
      </w:r>
    </w:p>
    <w:p>
      <w:pPr>
        <w:numPr>
          <w:ilvl w:val="0"/>
          <w:numId w:val="50"/>
        </w:numPr>
        <w:pStyle w:val="MonitorBullet"/>
      </w:pPr>
      <w:r>
        <w:rPr>
          <w:rFonts w:ascii="Calibri" w:hAnsi="Calibri"/>
          <w:b/>
          <w:i w:val="0"/>
          <w:color w:val="20262D"/>
          <w:sz w:val="22"/>
        </w:rPr>
        <w:t>Procurement signal, not policy signal:</w:t>
      </w:r>
      <w:r>
        <w:rPr>
          <w:rFonts w:ascii="Calibri" w:hAnsi="Calibri"/>
          <w:b w:val="0"/>
          <w:i w:val="0"/>
          <w:color w:val="20262D"/>
          <w:sz w:val="22"/>
        </w:rPr>
        <w:t xml:space="preserve"> PPRA moved from 534 to 536 published contracts. The surfaced additions are dated 21 August and cover printing supplies and grid-security equipment, so they do not qualify as an in-scope development.</w:t>
      </w:r>
    </w:p>
    <w:p>
      <w:pPr>
        <w:numPr>
          <w:ilvl w:val="0"/>
          <w:numId w:val="50"/>
        </w:numPr>
        <w:pStyle w:val="MonitorBullet"/>
      </w:pPr>
      <w:r>
        <w:rPr>
          <w:rFonts w:ascii="Calibri" w:hAnsi="Calibri"/>
          <w:b/>
          <w:i w:val="0"/>
          <w:color w:val="20262D"/>
          <w:sz w:val="22"/>
        </w:rPr>
        <w:t>Near-term attention shifts to execution:</w:t>
      </w:r>
      <w:r>
        <w:rPr>
          <w:rFonts w:ascii="Calibri" w:hAnsi="Calibri"/>
          <w:b w:val="0"/>
          <w:i w:val="0"/>
          <w:color w:val="20262D"/>
          <w:sz w:val="22"/>
        </w:rPr>
        <w:t xml:space="preserve"> PITB’s Government AI Cloud closes 24 August, NAAI hardware 25 August, PTA’s AI-powered DIRBS 27 August, and AI-Hubs/GPU tracks 31 August. A closing date is not evidence of award or delivery.</w:t>
      </w:r>
    </w:p>
    <w:p>
      <w:pPr>
        <w:pStyle w:val="Heading1"/>
      </w:pPr>
      <w:r>
        <w:t>2. Policy, regulation, and governance</w:t>
      </w:r>
    </w:p>
    <w:p>
      <w:pPr>
        <w:pStyle w:val="ItemLead"/>
      </w:pPr>
      <w:r>
        <w:rPr>
          <w:rFonts w:ascii="Calibri" w:hAnsi="Calibri"/>
          <w:b/>
          <w:i w:val="0"/>
          <w:color w:val="0B2545"/>
          <w:sz w:val="23"/>
        </w:rPr>
        <w:t>National AI Policy remains approved; no new implementation instrument located.</w:t>
      </w:r>
    </w:p>
    <w:p>
      <w:pPr>
        <w:pStyle w:val="ItemDetail"/>
        <w:keepNext/>
        <w:widowControl/>
      </w:pPr>
      <w:r>
        <w:rPr>
          <w:rFonts w:ascii="Calibri" w:hAnsi="Calibri"/>
          <w:b/>
          <w:i w:val="0"/>
          <w:color w:val="1F4D78"/>
          <w:sz w:val="20"/>
        </w:rPr>
        <w:t xml:space="preserve">Status: </w:t>
      </w:r>
      <w:r>
        <w:rPr>
          <w:rFonts w:ascii="Calibri" w:hAnsi="Calibri"/>
          <w:b w:val="0"/>
          <w:i w:val="0"/>
          <w:color w:val="20262D"/>
          <w:sz w:val="20"/>
        </w:rPr>
        <w:t>Approved policy; implementation mechanisms not newly verified.</w:t>
      </w:r>
    </w:p>
    <w:p>
      <w:pPr>
        <w:pStyle w:val="ItemDetail"/>
        <w:keepNext/>
        <w:widowControl/>
      </w:pPr>
      <w:r>
        <w:rPr>
          <w:rFonts w:ascii="Calibri" w:hAnsi="Calibri"/>
          <w:b/>
          <w:i w:val="0"/>
          <w:color w:val="1F4D78"/>
          <w:sz w:val="20"/>
        </w:rPr>
        <w:t xml:space="preserve">Institution / location: </w:t>
      </w:r>
      <w:r>
        <w:rPr>
          <w:rFonts w:ascii="Calibri" w:hAnsi="Calibri"/>
          <w:b w:val="0"/>
          <w:i w:val="0"/>
          <w:color w:val="20262D"/>
          <w:sz w:val="20"/>
        </w:rPr>
        <w:t>Ministry of IT &amp; Telecommunication (MoITT), federal / Islamabad.</w:t>
      </w:r>
    </w:p>
    <w:p>
      <w:pPr>
        <w:pStyle w:val="ItemDetail"/>
        <w:keepNext w:val="0"/>
        <w:widowControl/>
      </w:pPr>
      <w:r>
        <w:rPr>
          <w:rFonts w:ascii="Calibri" w:hAnsi="Calibri"/>
          <w:b/>
          <w:i w:val="0"/>
          <w:color w:val="1F4D78"/>
          <w:sz w:val="20"/>
        </w:rPr>
        <w:t xml:space="preserve">Evidence: </w:t>
      </w:r>
      <w:r>
        <w:rPr>
          <w:rFonts w:ascii="Calibri" w:hAnsi="Calibri"/>
          <w:b w:val="0"/>
          <w:i w:val="0"/>
          <w:color w:val="20262D"/>
          <w:sz w:val="20"/>
        </w:rPr>
        <w:t>MoITT’s live policy register continues to list the National Artificial Intelligence Policy as Approved, approval date 31 July 2025.</w:t>
      </w:r>
    </w:p>
    <w:p>
      <w:pPr>
        <w:pStyle w:val="ItemDetail"/>
        <w:keepNext w:val="0"/>
        <w:widowControl/>
      </w:pPr>
      <w:r>
        <w:rPr>
          <w:rFonts w:ascii="Calibri" w:hAnsi="Calibri"/>
          <w:b/>
          <w:i w:val="0"/>
          <w:color w:val="1F4D78"/>
          <w:sz w:val="20"/>
        </w:rPr>
        <w:t xml:space="preserve">What changed: </w:t>
      </w:r>
      <w:r>
        <w:rPr>
          <w:rFonts w:ascii="Calibri" w:hAnsi="Calibri"/>
          <w:b w:val="0"/>
          <w:i w:val="0"/>
          <w:color w:val="20262D"/>
          <w:sz w:val="20"/>
        </w:rPr>
        <w:t>None since the previous cutoff. No new AI Council/directorate instrument, binding standard, regulatory sandbox rule, model register, impact-assessment procedure, audit framework or redress mechanism was found.</w:t>
      </w:r>
    </w:p>
    <w:p>
      <w:pPr>
        <w:pStyle w:val="ItemDetail"/>
        <w:keepNext w:val="0"/>
        <w:widowControl/>
      </w:pPr>
      <w:r>
        <w:rPr>
          <w:rFonts w:ascii="Calibri" w:hAnsi="Calibri"/>
          <w:b/>
          <w:i w:val="0"/>
          <w:color w:val="1F4D78"/>
          <w:sz w:val="20"/>
        </w:rPr>
        <w:t xml:space="preserve">Why it matters: </w:t>
      </w:r>
      <w:r>
        <w:rPr>
          <w:rFonts w:ascii="Calibri" w:hAnsi="Calibri"/>
          <w:b w:val="0"/>
          <w:i w:val="0"/>
          <w:color w:val="20262D"/>
          <w:sz w:val="20"/>
        </w:rPr>
        <w:t>Organizations should treat the policy as strategic direction, not as proof that every governance mechanism or funding vehicle described in it is operational.</w:t>
      </w:r>
    </w:p>
    <w:p>
      <w:pPr>
        <w:pStyle w:val="ItemDetail"/>
      </w:pPr>
      <w:r>
        <w:rPr>
          <w:rFonts w:ascii="Calibri" w:hAnsi="Calibri"/>
          <w:b/>
          <w:i w:val="0"/>
          <w:color w:val="1F4D78"/>
          <w:sz w:val="20"/>
        </w:rPr>
        <w:t xml:space="preserve">Confidence: </w:t>
      </w:r>
      <w:r>
        <w:rPr>
          <w:rFonts w:ascii="Calibri" w:hAnsi="Calibri"/>
          <w:b/>
          <w:i w:val="0"/>
          <w:color w:val="1F4D78"/>
          <w:sz w:val="20"/>
        </w:rPr>
        <w:t>High for register status; medium for the negative implementation finding because publication can lag.</w:t>
      </w:r>
    </w:p>
    <w:p>
      <w:pPr>
        <w:pStyle w:val="ItemLead"/>
      </w:pPr>
      <w:r>
        <w:rPr>
          <w:rFonts w:ascii="Calibri" w:hAnsi="Calibri"/>
          <w:b/>
          <w:i w:val="0"/>
          <w:color w:val="0B2545"/>
          <w:sz w:val="23"/>
        </w:rPr>
        <w:t>National Data Governance Policy 2026 remains draft/finalisation-stage.</w:t>
      </w:r>
    </w:p>
    <w:p>
      <w:pPr>
        <w:pStyle w:val="ItemDetail"/>
        <w:keepNext/>
        <w:widowControl/>
      </w:pPr>
      <w:r>
        <w:rPr>
          <w:rFonts w:ascii="Calibri" w:hAnsi="Calibri"/>
          <w:b/>
          <w:i w:val="0"/>
          <w:color w:val="1F4D78"/>
          <w:sz w:val="20"/>
        </w:rPr>
        <w:t xml:space="preserve">Status: </w:t>
      </w:r>
      <w:r>
        <w:rPr>
          <w:rFonts w:ascii="Calibri" w:hAnsi="Calibri"/>
          <w:b w:val="0"/>
          <w:i w:val="0"/>
          <w:color w:val="20262D"/>
          <w:sz w:val="20"/>
        </w:rPr>
        <w:t>Draft; consultation closed; final approval/publication not verified.</w:t>
      </w:r>
    </w:p>
    <w:p>
      <w:pPr>
        <w:pStyle w:val="ItemDetail"/>
        <w:keepNext/>
        <w:widowControl/>
      </w:pPr>
      <w:r>
        <w:rPr>
          <w:rFonts w:ascii="Calibri" w:hAnsi="Calibri"/>
          <w:b/>
          <w:i w:val="0"/>
          <w:color w:val="1F4D78"/>
          <w:sz w:val="20"/>
        </w:rPr>
        <w:t xml:space="preserve">Institution / location: </w:t>
      </w:r>
      <w:r>
        <w:rPr>
          <w:rFonts w:ascii="Calibri" w:hAnsi="Calibri"/>
          <w:b w:val="0"/>
          <w:i w:val="0"/>
          <w:color w:val="20262D"/>
          <w:sz w:val="20"/>
        </w:rPr>
        <w:t>MoITT and Pakistan Digital Authority (PDA), federal / Islamabad.</w:t>
      </w:r>
    </w:p>
    <w:p>
      <w:pPr>
        <w:pStyle w:val="ItemDetail"/>
        <w:keepNext w:val="0"/>
        <w:widowControl/>
      </w:pPr>
      <w:r>
        <w:rPr>
          <w:rFonts w:ascii="Calibri" w:hAnsi="Calibri"/>
          <w:b/>
          <w:i w:val="0"/>
          <w:color w:val="1F4D78"/>
          <w:sz w:val="20"/>
        </w:rPr>
        <w:t xml:space="preserve">Evidence: </w:t>
      </w:r>
      <w:r>
        <w:rPr>
          <w:rFonts w:ascii="Calibri" w:hAnsi="Calibri"/>
          <w:b w:val="0"/>
          <w:i w:val="0"/>
          <w:color w:val="20262D"/>
          <w:sz w:val="20"/>
        </w:rPr>
        <w:t>MoITT still labels the policy Draft with a 26 June 2026 date. PDA reported on 5 August that consultations had concluded and the policy had moved to its final stage.</w:t>
      </w:r>
    </w:p>
    <w:p>
      <w:pPr>
        <w:pStyle w:val="ItemDetail"/>
        <w:keepNext w:val="0"/>
        <w:widowControl/>
      </w:pPr>
      <w:r>
        <w:rPr>
          <w:rFonts w:ascii="Calibri" w:hAnsi="Calibri"/>
          <w:b/>
          <w:i w:val="0"/>
          <w:color w:val="1F4D78"/>
          <w:sz w:val="20"/>
        </w:rPr>
        <w:t xml:space="preserve">What changed: </w:t>
      </w:r>
      <w:r>
        <w:rPr>
          <w:rFonts w:ascii="Calibri" w:hAnsi="Calibri"/>
          <w:b w:val="0"/>
          <w:i w:val="0"/>
          <w:color w:val="20262D"/>
          <w:sz w:val="20"/>
        </w:rPr>
        <w:t>None after 19:52 PKT. No revised final text, competent-body approval, formal publication, commencement date, implementation schedule or additional PDA rule surfaced.</w:t>
      </w:r>
    </w:p>
    <w:p>
      <w:pPr>
        <w:pStyle w:val="ItemDetail"/>
        <w:keepNext w:val="0"/>
        <w:widowControl/>
      </w:pPr>
      <w:r>
        <w:rPr>
          <w:rFonts w:ascii="Calibri" w:hAnsi="Calibri"/>
          <w:b/>
          <w:i w:val="0"/>
          <w:color w:val="1F4D78"/>
          <w:sz w:val="20"/>
        </w:rPr>
        <w:t xml:space="preserve">Why it matters: </w:t>
      </w:r>
      <w:r>
        <w:rPr>
          <w:rFonts w:ascii="Calibri" w:hAnsi="Calibri"/>
          <w:b w:val="0"/>
          <w:i w:val="0"/>
          <w:color w:val="20262D"/>
          <w:sz w:val="20"/>
        </w:rPr>
        <w:t>Public bodies should prepare for stronger data inventory, sharing, privacy, security and automated-decision governance, but companies and agencies should not cite the draft as an enacted general personal-data law.</w:t>
      </w:r>
    </w:p>
    <w:p>
      <w:pPr>
        <w:pStyle w:val="ItemDetail"/>
      </w:pPr>
      <w:r>
        <w:rPr>
          <w:rFonts w:ascii="Calibri" w:hAnsi="Calibri"/>
          <w:b/>
          <w:i w:val="0"/>
          <w:color w:val="1F4D78"/>
          <w:sz w:val="20"/>
        </w:rPr>
        <w:t xml:space="preserve">Confidence: </w:t>
      </w:r>
      <w:r>
        <w:rPr>
          <w:rFonts w:ascii="Calibri" w:hAnsi="Calibri"/>
          <w:b/>
          <w:i w:val="0"/>
          <w:color w:val="1F4D78"/>
          <w:sz w:val="20"/>
        </w:rPr>
        <w:t>High for current labels; medium for absence of an unpublished approval.</w:t>
      </w:r>
    </w:p>
    <w:p>
      <w:pPr>
        <w:pStyle w:val="Heading1"/>
      </w:pPr>
      <w:r>
        <w:t>3. Data regulation, digital policy, and cybersecurity</w:t>
      </w:r>
    </w:p>
    <w:p>
      <w:pPr>
        <w:pStyle w:val="ItemLead"/>
      </w:pPr>
      <w:r>
        <w:rPr>
          <w:rFonts w:ascii="Calibri" w:hAnsi="Calibri"/>
          <w:b/>
          <w:i w:val="0"/>
          <w:color w:val="0B2545"/>
          <w:sz w:val="23"/>
        </w:rPr>
        <w:t>Virtual-asset data and cyber obligations remain the clearest new sector-specific compliance baseline.</w:t>
      </w:r>
    </w:p>
    <w:p>
      <w:pPr>
        <w:pStyle w:val="ItemDetail"/>
        <w:keepNext/>
        <w:widowControl/>
      </w:pPr>
      <w:r>
        <w:rPr>
          <w:rFonts w:ascii="Calibri" w:hAnsi="Calibri"/>
          <w:b/>
          <w:i w:val="0"/>
          <w:color w:val="1F4D78"/>
          <w:sz w:val="20"/>
        </w:rPr>
        <w:t xml:space="preserve">Status: </w:t>
      </w:r>
      <w:r>
        <w:rPr>
          <w:rFonts w:ascii="Calibri" w:hAnsi="Calibri"/>
          <w:b w:val="0"/>
          <w:i w:val="0"/>
          <w:color w:val="20262D"/>
          <w:sz w:val="20"/>
        </w:rPr>
        <w:t>Regulations notified 21 August 2026; portal open; no post-cutoff licence or enforcement update.</w:t>
      </w:r>
    </w:p>
    <w:p>
      <w:pPr>
        <w:pStyle w:val="ItemDetail"/>
        <w:keepNext/>
        <w:widowControl/>
      </w:pPr>
      <w:r>
        <w:rPr>
          <w:rFonts w:ascii="Calibri" w:hAnsi="Calibri"/>
          <w:b/>
          <w:i w:val="0"/>
          <w:color w:val="1F4D78"/>
          <w:sz w:val="20"/>
        </w:rPr>
        <w:t xml:space="preserve">Institution / location: </w:t>
      </w:r>
      <w:r>
        <w:rPr>
          <w:rFonts w:ascii="Calibri" w:hAnsi="Calibri"/>
          <w:b w:val="0"/>
          <w:i w:val="0"/>
          <w:color w:val="20262D"/>
          <w:sz w:val="20"/>
        </w:rPr>
        <w:t>Pakistan Virtual Assets Regulatory Authority (PVARA), federal.</w:t>
      </w:r>
    </w:p>
    <w:p>
      <w:pPr>
        <w:pStyle w:val="ItemDetail"/>
        <w:keepNext w:val="0"/>
        <w:widowControl/>
      </w:pPr>
      <w:r>
        <w:rPr>
          <w:rFonts w:ascii="Calibri" w:hAnsi="Calibri"/>
          <w:b/>
          <w:i w:val="0"/>
          <w:color w:val="1F4D78"/>
          <w:sz w:val="20"/>
        </w:rPr>
        <w:t xml:space="preserve">Evidence: </w:t>
      </w:r>
      <w:r>
        <w:rPr>
          <w:rFonts w:ascii="Calibri" w:hAnsi="Calibri"/>
          <w:b w:val="0"/>
          <w:i w:val="0"/>
          <w:color w:val="20262D"/>
          <w:sz w:val="20"/>
        </w:rPr>
        <w:t>PVARA continues to publish S.R.O. 1419(I)/2026 and S.R.O. 1420(I)/2026 and states that applications are open for sandbox entry, NOCs and VASP licences. Its live guidance requires local incorporation, AML/CFT controls, cybersecurity, business continuity and at least ten years of records; transitional operators face a 5 September NOC deadline.</w:t>
      </w:r>
    </w:p>
    <w:p>
      <w:pPr>
        <w:pStyle w:val="ItemDetail"/>
        <w:keepNext w:val="0"/>
        <w:widowControl/>
      </w:pPr>
      <w:r>
        <w:rPr>
          <w:rFonts w:ascii="Calibri" w:hAnsi="Calibri"/>
          <w:b/>
          <w:i w:val="0"/>
          <w:color w:val="1F4D78"/>
          <w:sz w:val="20"/>
        </w:rPr>
        <w:t xml:space="preserve">What changed: </w:t>
      </w:r>
      <w:r>
        <w:rPr>
          <w:rFonts w:ascii="Calibri" w:hAnsi="Calibri"/>
          <w:b w:val="0"/>
          <w:i w:val="0"/>
          <w:color w:val="20262D"/>
          <w:sz w:val="20"/>
        </w:rPr>
        <w:t>No additional regulation, NOC, licence, sandbox admission or enforcement action was verified in the interval.</w:t>
      </w:r>
    </w:p>
    <w:p>
      <w:pPr>
        <w:pStyle w:val="ItemDetail"/>
        <w:keepNext w:val="0"/>
        <w:widowControl/>
      </w:pPr>
      <w:r>
        <w:rPr>
          <w:rFonts w:ascii="Calibri" w:hAnsi="Calibri"/>
          <w:b/>
          <w:i w:val="0"/>
          <w:color w:val="1F4D78"/>
          <w:sz w:val="20"/>
        </w:rPr>
        <w:t xml:space="preserve">Why it matters: </w:t>
      </w:r>
      <w:r>
        <w:rPr>
          <w:rFonts w:ascii="Calibri" w:hAnsi="Calibri"/>
          <w:b w:val="0"/>
          <w:i w:val="0"/>
          <w:color w:val="20262D"/>
          <w:sz w:val="20"/>
        </w:rPr>
        <w:t>Virtual-asset businesses have concrete near-term compliance work even though Pakistan’s generally applicable personal-data regime remains unresolved. Cloud outsourcing, personal/financial data controls, incident handling, auditability and local-entity accountability warrant board-level attention.</w:t>
      </w:r>
    </w:p>
    <w:p>
      <w:pPr>
        <w:pStyle w:val="ItemDetail"/>
      </w:pPr>
      <w:r>
        <w:rPr>
          <w:rFonts w:ascii="Calibri" w:hAnsi="Calibri"/>
          <w:b/>
          <w:i w:val="0"/>
          <w:color w:val="1F4D78"/>
          <w:sz w:val="20"/>
        </w:rPr>
        <w:t xml:space="preserve">Confidence: </w:t>
      </w:r>
      <w:r>
        <w:rPr>
          <w:rFonts w:ascii="Calibri" w:hAnsi="Calibri"/>
          <w:b/>
          <w:i w:val="0"/>
          <w:color w:val="1F4D78"/>
          <w:sz w:val="20"/>
        </w:rPr>
        <w:t>High for published instruments and portal requirements; medium for market-wide implementation.</w:t>
      </w:r>
    </w:p>
    <w:p>
      <w:pPr>
        <w:pStyle w:val="ItemLead"/>
      </w:pPr>
      <w:r>
        <w:rPr>
          <w:rFonts w:ascii="Calibri" w:hAnsi="Calibri"/>
          <w:b/>
          <w:i w:val="0"/>
          <w:color w:val="0B2545"/>
          <w:sz w:val="23"/>
        </w:rPr>
        <w:t>No new national cyber advisory or general digital-policy decision.</w:t>
      </w:r>
    </w:p>
    <w:p>
      <w:pPr>
        <w:pStyle w:val="ItemDetail"/>
        <w:keepNext/>
        <w:widowControl/>
      </w:pPr>
      <w:r>
        <w:rPr>
          <w:rFonts w:ascii="Calibri" w:hAnsi="Calibri"/>
          <w:b/>
          <w:i w:val="0"/>
          <w:color w:val="1F4D78"/>
          <w:sz w:val="20"/>
        </w:rPr>
        <w:t xml:space="preserve">Status: </w:t>
      </w:r>
      <w:r>
        <w:rPr>
          <w:rFonts w:ascii="Calibri" w:hAnsi="Calibri"/>
          <w:b w:val="0"/>
          <w:i w:val="0"/>
          <w:color w:val="20262D"/>
          <w:sz w:val="20"/>
        </w:rPr>
        <w:t>No change verified.</w:t>
      </w:r>
    </w:p>
    <w:p>
      <w:pPr>
        <w:pStyle w:val="ItemDetail"/>
        <w:keepNext/>
        <w:widowControl/>
      </w:pPr>
      <w:r>
        <w:rPr>
          <w:rFonts w:ascii="Calibri" w:hAnsi="Calibri"/>
          <w:b/>
          <w:i w:val="0"/>
          <w:color w:val="1F4D78"/>
          <w:sz w:val="20"/>
        </w:rPr>
        <w:t xml:space="preserve">Institution / location: </w:t>
      </w:r>
      <w:r>
        <w:rPr>
          <w:rFonts w:ascii="Calibri" w:hAnsi="Calibri"/>
          <w:b w:val="0"/>
          <w:i w:val="0"/>
          <w:color w:val="20262D"/>
          <w:sz w:val="20"/>
        </w:rPr>
        <w:t>National CERT (PKCERT), MoITT, PDA and PTA.</w:t>
      </w:r>
    </w:p>
    <w:p>
      <w:pPr>
        <w:pStyle w:val="ItemDetail"/>
        <w:keepNext w:val="0"/>
        <w:widowControl/>
      </w:pPr>
      <w:r>
        <w:rPr>
          <w:rFonts w:ascii="Calibri" w:hAnsi="Calibri"/>
          <w:b/>
          <w:i w:val="0"/>
          <w:color w:val="1F4D78"/>
          <w:sz w:val="20"/>
        </w:rPr>
        <w:t xml:space="preserve">Evidence: </w:t>
      </w:r>
      <w:r>
        <w:rPr>
          <w:rFonts w:ascii="Calibri" w:hAnsi="Calibri"/>
          <w:b w:val="0"/>
          <w:i w:val="0"/>
          <w:color w:val="20262D"/>
          <w:sz w:val="20"/>
        </w:rPr>
        <w:t>PKCERT’s 2026 list remains capped at Advisory 15. MoITT’s policy register and PDA newsroom showed no post-cutoff addition; the federal PID feed remained capped at PR 266 at 12:54:47 PKT, before the prior cutoff.</w:t>
      </w:r>
    </w:p>
    <w:p>
      <w:pPr>
        <w:pStyle w:val="ItemDetail"/>
        <w:keepNext w:val="0"/>
        <w:widowControl/>
      </w:pPr>
      <w:r>
        <w:rPr>
          <w:rFonts w:ascii="Calibri" w:hAnsi="Calibri"/>
          <w:b/>
          <w:i w:val="0"/>
          <w:color w:val="1F4D78"/>
          <w:sz w:val="20"/>
        </w:rPr>
        <w:t xml:space="preserve">What changed: </w:t>
      </w:r>
      <w:r>
        <w:rPr>
          <w:rFonts w:ascii="Calibri" w:hAnsi="Calibri"/>
          <w:b w:val="0"/>
          <w:i w:val="0"/>
          <w:color w:val="20262D"/>
          <w:sz w:val="20"/>
        </w:rPr>
        <w:t>None. The absence of a new advisory is not evidence that threat conditions are static; it only means no new official publication was located.</w:t>
      </w:r>
    </w:p>
    <w:p>
      <w:pPr>
        <w:pStyle w:val="ItemDetail"/>
        <w:keepNext w:val="0"/>
        <w:widowControl/>
      </w:pPr>
      <w:r>
        <w:rPr>
          <w:rFonts w:ascii="Calibri" w:hAnsi="Calibri"/>
          <w:b/>
          <w:i w:val="0"/>
          <w:color w:val="1F4D78"/>
          <w:sz w:val="20"/>
        </w:rPr>
        <w:t xml:space="preserve">Why it matters: </w:t>
      </w:r>
      <w:r>
        <w:rPr>
          <w:rFonts w:ascii="Calibri" w:hAnsi="Calibri"/>
          <w:b w:val="0"/>
          <w:i w:val="0"/>
          <w:color w:val="20262D"/>
          <w:sz w:val="20"/>
        </w:rPr>
        <w:t>Operators should continue existing patching, monitoring and incident-response duties and avoid inferring regulatory relief from a quiet publication window.</w:t>
      </w:r>
    </w:p>
    <w:p>
      <w:pPr>
        <w:pStyle w:val="ItemDetail"/>
      </w:pPr>
      <w:r>
        <w:rPr>
          <w:rFonts w:ascii="Calibri" w:hAnsi="Calibri"/>
          <w:b/>
          <w:i w:val="0"/>
          <w:color w:val="1F4D78"/>
          <w:sz w:val="20"/>
        </w:rPr>
        <w:t xml:space="preserve">Confidence: </w:t>
      </w:r>
      <w:r>
        <w:rPr>
          <w:rFonts w:ascii="Calibri" w:hAnsi="Calibri"/>
          <w:b/>
          <w:i w:val="0"/>
          <w:color w:val="1F4D78"/>
          <w:sz w:val="20"/>
        </w:rPr>
        <w:t>High for the visible official lists; medium-high overall due to indexing lag.</w:t>
      </w:r>
    </w:p>
    <w:p>
      <w:pPr>
        <w:pStyle w:val="Heading1"/>
      </w:pPr>
      <w:r>
        <w:t>4. AI and digital infrastructure</w:t>
      </w:r>
    </w:p>
    <w:p>
      <w:pPr>
        <w:pStyle w:val="ItemLead"/>
      </w:pPr>
      <w:r>
        <w:rPr>
          <w:rFonts w:ascii="Calibri" w:hAnsi="Calibri"/>
          <w:b/>
          <w:i w:val="0"/>
          <w:color w:val="0B2545"/>
          <w:sz w:val="23"/>
        </w:rPr>
        <w:t>No new compute, cloud, data-centre, connectivity or compute-energy milestone.</w:t>
      </w:r>
    </w:p>
    <w:p>
      <w:pPr>
        <w:pStyle w:val="ItemDetail"/>
        <w:keepNext/>
        <w:widowControl/>
      </w:pPr>
      <w:r>
        <w:rPr>
          <w:rFonts w:ascii="Calibri" w:hAnsi="Calibri"/>
          <w:b/>
          <w:i w:val="0"/>
          <w:color w:val="1F4D78"/>
          <w:sz w:val="20"/>
        </w:rPr>
        <w:t xml:space="preserve">Status: </w:t>
      </w:r>
      <w:r>
        <w:rPr>
          <w:rFonts w:ascii="Calibri" w:hAnsi="Calibri"/>
          <w:b w:val="0"/>
          <w:i w:val="0"/>
          <w:color w:val="20262D"/>
          <w:sz w:val="20"/>
        </w:rPr>
        <w:t>No post-cutoff implementation event verified.</w:t>
      </w:r>
    </w:p>
    <w:p>
      <w:pPr>
        <w:pStyle w:val="ItemDetail"/>
        <w:keepNext/>
        <w:widowControl/>
      </w:pPr>
      <w:r>
        <w:rPr>
          <w:rFonts w:ascii="Calibri" w:hAnsi="Calibri"/>
          <w:b/>
          <w:i w:val="0"/>
          <w:color w:val="1F4D78"/>
          <w:sz w:val="20"/>
        </w:rPr>
        <w:t xml:space="preserve">Institution / location: </w:t>
      </w:r>
      <w:r>
        <w:rPr>
          <w:rFonts w:ascii="Calibri" w:hAnsi="Calibri"/>
          <w:b w:val="0"/>
          <w:i w:val="0"/>
          <w:color w:val="20262D"/>
          <w:sz w:val="20"/>
        </w:rPr>
        <w:t>Federal and provincial infrastructure tracks; Islamabad, Karachi and Lahore watchpoints.</w:t>
      </w:r>
    </w:p>
    <w:p>
      <w:pPr>
        <w:pStyle w:val="ItemDetail"/>
        <w:keepNext w:val="0"/>
        <w:widowControl/>
      </w:pPr>
      <w:r>
        <w:rPr>
          <w:rFonts w:ascii="Calibri" w:hAnsi="Calibri"/>
          <w:b/>
          <w:i w:val="0"/>
          <w:color w:val="1F4D78"/>
          <w:sz w:val="20"/>
        </w:rPr>
        <w:t xml:space="preserve">Evidence: </w:t>
      </w:r>
      <w:r>
        <w:rPr>
          <w:rFonts w:ascii="Calibri" w:hAnsi="Calibri"/>
          <w:b w:val="0"/>
          <w:i w:val="0"/>
          <w:color w:val="20262D"/>
          <w:sz w:val="20"/>
        </w:rPr>
        <w:t>No award, construction milestone, equipment delivery, test, acceptance, commissioning, cloud-region launch, network activation, grid decision, tariff/PPA decision or capacity figure was newly published in the interval.</w:t>
      </w:r>
    </w:p>
    <w:p>
      <w:pPr>
        <w:pStyle w:val="ItemDetail"/>
        <w:keepNext w:val="0"/>
        <w:widowControl/>
      </w:pPr>
      <w:r>
        <w:rPr>
          <w:rFonts w:ascii="Calibri" w:hAnsi="Calibri"/>
          <w:b/>
          <w:i w:val="0"/>
          <w:color w:val="1F4D78"/>
          <w:sz w:val="20"/>
        </w:rPr>
        <w:t xml:space="preserve">What changed: </w:t>
      </w:r>
      <w:r>
        <w:rPr>
          <w:rFonts w:ascii="Calibri" w:hAnsi="Calibri"/>
          <w:b w:val="0"/>
          <w:i w:val="0"/>
          <w:color w:val="20262D"/>
          <w:sz w:val="20"/>
        </w:rPr>
        <w:t>None. The previously reported Sky47 integration direction and the proposed CMPak/Zong AI-ready Tier-III Karachi facility remain baseline items, not fresh developments.</w:t>
      </w:r>
    </w:p>
    <w:p>
      <w:pPr>
        <w:pStyle w:val="ItemDetail"/>
        <w:keepNext w:val="0"/>
        <w:widowControl/>
      </w:pPr>
      <w:r>
        <w:rPr>
          <w:rFonts w:ascii="Calibri" w:hAnsi="Calibri"/>
          <w:b/>
          <w:i w:val="0"/>
          <w:color w:val="1F4D78"/>
          <w:sz w:val="20"/>
        </w:rPr>
        <w:t xml:space="preserve">Why it matters: </w:t>
      </w:r>
      <w:r>
        <w:rPr>
          <w:rFonts w:ascii="Calibri" w:hAnsi="Calibri"/>
          <w:b w:val="0"/>
          <w:i w:val="0"/>
          <w:color w:val="20262D"/>
          <w:sz w:val="20"/>
        </w:rPr>
        <w:t>For investors and public buyers, the execution evidence to demand remains site control, financing, contracted power, redundancy, cooling/water plan, certifications, installed compute, connectivity, service-level commitments and operational acceptance.</w:t>
      </w:r>
    </w:p>
    <w:p>
      <w:pPr>
        <w:pStyle w:val="ItemDetail"/>
      </w:pPr>
      <w:r>
        <w:rPr>
          <w:rFonts w:ascii="Calibri" w:hAnsi="Calibri"/>
          <w:b/>
          <w:i w:val="0"/>
          <w:color w:val="1F4D78"/>
          <w:sz w:val="20"/>
        </w:rPr>
        <w:t xml:space="preserve">Confidence: </w:t>
      </w:r>
      <w:r>
        <w:rPr>
          <w:rFonts w:ascii="Calibri" w:hAnsi="Calibri"/>
          <w:b/>
          <w:i w:val="0"/>
          <w:color w:val="1F4D78"/>
          <w:sz w:val="20"/>
        </w:rPr>
        <w:t>Medium-high; official and procurement sources were checked, but physical projects can advance before public disclosure.</w:t>
      </w:r>
    </w:p>
    <w:p>
      <w:pPr>
        <w:pStyle w:val="Heading1"/>
      </w:pPr>
      <w:r>
        <w:t>5. Programs, funding, and investment</w:t>
      </w:r>
    </w:p>
    <w:p>
      <w:pPr>
        <w:pStyle w:val="ItemLead"/>
      </w:pPr>
      <w:r>
        <w:rPr>
          <w:rFonts w:ascii="Calibri" w:hAnsi="Calibri"/>
          <w:b/>
          <w:i w:val="0"/>
          <w:color w:val="0B2545"/>
          <w:sz w:val="23"/>
        </w:rPr>
        <w:t>PPRA contract count increased, but the new visible records are outside scope.</w:t>
      </w:r>
    </w:p>
    <w:p>
      <w:pPr>
        <w:pStyle w:val="ItemDetail"/>
        <w:keepNext/>
        <w:widowControl/>
      </w:pPr>
      <w:r>
        <w:rPr>
          <w:rFonts w:ascii="Calibri" w:hAnsi="Calibri"/>
          <w:b/>
          <w:i w:val="0"/>
          <w:color w:val="1F4D78"/>
          <w:sz w:val="20"/>
        </w:rPr>
        <w:t xml:space="preserve">Status: </w:t>
      </w:r>
      <w:r>
        <w:rPr>
          <w:rFonts w:ascii="Calibri" w:hAnsi="Calibri"/>
          <w:b w:val="0"/>
          <w:i w:val="0"/>
          <w:color w:val="20262D"/>
          <w:sz w:val="20"/>
        </w:rPr>
        <w:t>Portal backfill / publication; not a technology-program milestone.</w:t>
      </w:r>
    </w:p>
    <w:p>
      <w:pPr>
        <w:pStyle w:val="ItemDetail"/>
        <w:keepNext/>
        <w:widowControl/>
      </w:pPr>
      <w:r>
        <w:rPr>
          <w:rFonts w:ascii="Calibri" w:hAnsi="Calibri"/>
          <w:b/>
          <w:i w:val="0"/>
          <w:color w:val="1F4D78"/>
          <w:sz w:val="20"/>
        </w:rPr>
        <w:t xml:space="preserve">Institution / location: </w:t>
      </w:r>
      <w:r>
        <w:rPr>
          <w:rFonts w:ascii="Calibri" w:hAnsi="Calibri"/>
          <w:b w:val="0"/>
          <w:i w:val="0"/>
          <w:color w:val="20262D"/>
          <w:sz w:val="20"/>
        </w:rPr>
        <w:t>Public Procurement Regulatory Authority (PPRA), federal EPADS.</w:t>
      </w:r>
    </w:p>
    <w:p>
      <w:pPr>
        <w:pStyle w:val="ItemDetail"/>
        <w:keepNext w:val="0"/>
        <w:widowControl/>
      </w:pPr>
      <w:r>
        <w:rPr>
          <w:rFonts w:ascii="Calibri" w:hAnsi="Calibri"/>
          <w:b/>
          <w:i w:val="0"/>
          <w:color w:val="1F4D78"/>
          <w:sz w:val="20"/>
        </w:rPr>
        <w:t xml:space="preserve">Evidence: </w:t>
      </w:r>
      <w:r>
        <w:rPr>
          <w:rFonts w:ascii="Calibri" w:hAnsi="Calibri"/>
          <w:b w:val="0"/>
          <w:i w:val="0"/>
          <w:color w:val="20262D"/>
          <w:sz w:val="20"/>
        </w:rPr>
        <w:t>The contracts page increased from 534 at the previous cutoff to 536. The top two records are dated 21 August: PSPC pneumatic items (Rs355,121) and National Grid Company security equipment (Rs1,929,300). The active-tender total remained 1,841 and evaluations remained 2,705.</w:t>
      </w:r>
    </w:p>
    <w:p>
      <w:pPr>
        <w:pStyle w:val="ItemDetail"/>
        <w:keepNext w:val="0"/>
        <w:widowControl/>
      </w:pPr>
      <w:r>
        <w:rPr>
          <w:rFonts w:ascii="Calibri" w:hAnsi="Calibri"/>
          <w:b/>
          <w:i w:val="0"/>
          <w:color w:val="1F4D78"/>
          <w:sz w:val="20"/>
        </w:rPr>
        <w:t xml:space="preserve">What changed: </w:t>
      </w:r>
      <w:r>
        <w:rPr>
          <w:rFonts w:ascii="Calibri" w:hAnsi="Calibri"/>
          <w:b w:val="0"/>
          <w:i w:val="0"/>
          <w:color w:val="20262D"/>
          <w:sz w:val="20"/>
        </w:rPr>
        <w:t>A portal-count delta occurred; no in-scope contract, award, delivery or acceptance appeared. Because the records are date-only and predate the interval, their precise publication time cannot be established.</w:t>
      </w:r>
    </w:p>
    <w:p>
      <w:pPr>
        <w:pStyle w:val="ItemDetail"/>
        <w:keepNext w:val="0"/>
        <w:widowControl/>
      </w:pPr>
      <w:r>
        <w:rPr>
          <w:rFonts w:ascii="Calibri" w:hAnsi="Calibri"/>
          <w:b/>
          <w:i w:val="0"/>
          <w:color w:val="1F4D78"/>
          <w:sz w:val="20"/>
        </w:rPr>
        <w:t xml:space="preserve">Why it matters: </w:t>
      </w:r>
      <w:r>
        <w:rPr>
          <w:rFonts w:ascii="Calibri" w:hAnsi="Calibri"/>
          <w:b w:val="0"/>
          <w:i w:val="0"/>
          <w:color w:val="20262D"/>
          <w:sz w:val="20"/>
        </w:rPr>
        <w:t>This is a useful control check: procurement counters can change through delayed uploads, and a count increase should not be mistaken for new AI investment.</w:t>
      </w:r>
    </w:p>
    <w:p>
      <w:pPr>
        <w:pStyle w:val="ItemDetail"/>
      </w:pPr>
      <w:r>
        <w:rPr>
          <w:rFonts w:ascii="Calibri" w:hAnsi="Calibri"/>
          <w:b/>
          <w:i w:val="0"/>
          <w:color w:val="1F4D78"/>
          <w:sz w:val="20"/>
        </w:rPr>
        <w:t xml:space="preserve">Confidence: </w:t>
      </w:r>
      <w:r>
        <w:rPr>
          <w:rFonts w:ascii="Calibri" w:hAnsi="Calibri"/>
          <w:b/>
          <w:i w:val="0"/>
          <w:color w:val="1F4D78"/>
          <w:sz w:val="20"/>
        </w:rPr>
        <w:t>High for live counts and record content; medium for upload timing.</w:t>
      </w:r>
    </w:p>
    <w:p>
      <w:pPr>
        <w:pStyle w:val="ItemLead"/>
      </w:pPr>
      <w:r>
        <w:rPr>
          <w:rFonts w:ascii="Calibri" w:hAnsi="Calibri"/>
          <w:b/>
          <w:i w:val="0"/>
          <w:color w:val="0B2545"/>
          <w:sz w:val="23"/>
        </w:rPr>
        <w:t>Watched AI and digital procurements remain pre-award or pre-delivery.</w:t>
      </w:r>
    </w:p>
    <w:p>
      <w:pPr>
        <w:pStyle w:val="ItemDetail"/>
        <w:keepNext/>
        <w:widowControl/>
      </w:pPr>
      <w:r>
        <w:rPr>
          <w:rFonts w:ascii="Calibri" w:hAnsi="Calibri"/>
          <w:b/>
          <w:i w:val="0"/>
          <w:color w:val="1F4D78"/>
          <w:sz w:val="20"/>
        </w:rPr>
        <w:t xml:space="preserve">Status: </w:t>
      </w:r>
      <w:r>
        <w:rPr>
          <w:rFonts w:ascii="Calibri" w:hAnsi="Calibri"/>
          <w:b w:val="0"/>
          <w:i w:val="0"/>
          <w:color w:val="20262D"/>
          <w:sz w:val="20"/>
        </w:rPr>
        <w:t>Open, evaluation-stage, corrigendum-stage or otherwise not verified as contracted/accepted.</w:t>
      </w:r>
    </w:p>
    <w:p>
      <w:pPr>
        <w:pStyle w:val="ItemDetail"/>
        <w:keepNext/>
        <w:widowControl/>
      </w:pPr>
      <w:r>
        <w:rPr>
          <w:rFonts w:ascii="Calibri" w:hAnsi="Calibri"/>
          <w:b/>
          <w:i w:val="0"/>
          <w:color w:val="1F4D78"/>
          <w:sz w:val="20"/>
        </w:rPr>
        <w:t xml:space="preserve">Institution / location: </w:t>
      </w:r>
      <w:r>
        <w:rPr>
          <w:rFonts w:ascii="Calibri" w:hAnsi="Calibri"/>
          <w:b w:val="0"/>
          <w:i w:val="0"/>
          <w:color w:val="20262D"/>
          <w:sz w:val="20"/>
        </w:rPr>
        <w:t>PITB, NAAI/MoITT, PTA, NADRA, NTC and NAVTTC.</w:t>
      </w:r>
    </w:p>
    <w:p>
      <w:pPr>
        <w:pStyle w:val="ItemDetail"/>
        <w:keepNext w:val="0"/>
        <w:widowControl/>
      </w:pPr>
      <w:r>
        <w:rPr>
          <w:rFonts w:ascii="Calibri" w:hAnsi="Calibri"/>
          <w:b/>
          <w:i w:val="0"/>
          <w:color w:val="1F4D78"/>
          <w:sz w:val="20"/>
        </w:rPr>
        <w:t xml:space="preserve">Evidence: </w:t>
      </w:r>
      <w:r>
        <w:rPr>
          <w:rFonts w:ascii="Calibri" w:hAnsi="Calibri"/>
          <w:b w:val="0"/>
          <w:i w:val="0"/>
          <w:color w:val="20262D"/>
          <w:sz w:val="20"/>
        </w:rPr>
        <w:t>PPRA continues to show NAVTTC’s ‘AI Enabled Services’ as a six-bid technical evaluation dated 21 August. No watched procurement advanced to a verified final award, signed contract, delivery, testing or acceptance after the cutoff.</w:t>
      </w:r>
    </w:p>
    <w:p>
      <w:pPr>
        <w:pStyle w:val="ItemDetail"/>
        <w:keepNext w:val="0"/>
        <w:widowControl/>
      </w:pPr>
      <w:r>
        <w:rPr>
          <w:rFonts w:ascii="Calibri" w:hAnsi="Calibri"/>
          <w:b/>
          <w:i w:val="0"/>
          <w:color w:val="1F4D78"/>
          <w:sz w:val="20"/>
        </w:rPr>
        <w:t xml:space="preserve">What changed: </w:t>
      </w:r>
      <w:r>
        <w:rPr>
          <w:rFonts w:ascii="Calibri" w:hAnsi="Calibri"/>
          <w:b w:val="0"/>
          <w:i w:val="0"/>
          <w:color w:val="20262D"/>
          <w:sz w:val="20"/>
        </w:rPr>
        <w:t>None. Near-term closing dates remain 24, 25, 27 and 31 August for the watched AI-cloud, hardware, DIRBS and AI-Hub/GPU tracks.</w:t>
      </w:r>
    </w:p>
    <w:p>
      <w:pPr>
        <w:pStyle w:val="ItemDetail"/>
        <w:keepNext w:val="0"/>
        <w:widowControl/>
      </w:pPr>
      <w:r>
        <w:rPr>
          <w:rFonts w:ascii="Calibri" w:hAnsi="Calibri"/>
          <w:b/>
          <w:i w:val="0"/>
          <w:color w:val="1F4D78"/>
          <w:sz w:val="20"/>
        </w:rPr>
        <w:t xml:space="preserve">Why it matters: </w:t>
      </w:r>
      <w:r>
        <w:rPr>
          <w:rFonts w:ascii="Calibri" w:hAnsi="Calibri"/>
          <w:b w:val="0"/>
          <w:i w:val="0"/>
          <w:color w:val="20262D"/>
          <w:sz w:val="20"/>
        </w:rPr>
        <w:t>The next decision-relevant signal is not tender publication but evaluation outcome, beneficial owner/contractor, contract value, delivery schedule, acceptance criteria and operating budget.</w:t>
      </w:r>
    </w:p>
    <w:p>
      <w:pPr>
        <w:pStyle w:val="ItemDetail"/>
      </w:pPr>
      <w:r>
        <w:rPr>
          <w:rFonts w:ascii="Calibri" w:hAnsi="Calibri"/>
          <w:b/>
          <w:i w:val="0"/>
          <w:color w:val="1F4D78"/>
          <w:sz w:val="20"/>
        </w:rPr>
        <w:t xml:space="preserve">Confidence: </w:t>
      </w:r>
      <w:r>
        <w:rPr>
          <w:rFonts w:ascii="Calibri" w:hAnsi="Calibri"/>
          <w:b/>
          <w:i w:val="0"/>
          <w:color w:val="1F4D78"/>
          <w:sz w:val="20"/>
        </w:rPr>
        <w:t>Medium-high; PPRA date-only metadata limits interval precision.</w:t>
      </w:r>
    </w:p>
    <w:p>
      <w:pPr>
        <w:pStyle w:val="Heading1"/>
      </w:pPr>
      <w:r>
        <w:t>6. Provincial and local developments</w:t>
      </w:r>
    </w:p>
    <w:p>
      <w:pPr>
        <w:pStyle w:val="ItemLead"/>
      </w:pPr>
      <w:r>
        <w:rPr>
          <w:rFonts w:ascii="Calibri" w:hAnsi="Calibri"/>
          <w:b/>
          <w:i w:val="0"/>
          <w:color w:val="0B2545"/>
          <w:sz w:val="23"/>
        </w:rPr>
        <w:t>Khyber Pakhtunkhwa digital-payments bill remains reported passed, but official legal completion is unverified.</w:t>
      </w:r>
    </w:p>
    <w:p>
      <w:pPr>
        <w:pStyle w:val="ItemDetail"/>
        <w:keepNext/>
        <w:widowControl/>
      </w:pPr>
      <w:r>
        <w:rPr>
          <w:rFonts w:ascii="Calibri" w:hAnsi="Calibri"/>
          <w:b/>
          <w:i w:val="0"/>
          <w:color w:val="1F4D78"/>
          <w:sz w:val="20"/>
        </w:rPr>
        <w:t xml:space="preserve">Status: </w:t>
      </w:r>
      <w:r>
        <w:rPr>
          <w:rFonts w:ascii="Calibri" w:hAnsi="Calibri"/>
          <w:b w:val="0"/>
          <w:i w:val="0"/>
          <w:color w:val="20262D"/>
          <w:sz w:val="20"/>
        </w:rPr>
        <w:t>Reported Assembly passage on 21 August; assent, Gazette publication, commencement and authenticated final text not verified.</w:t>
      </w:r>
    </w:p>
    <w:p>
      <w:pPr>
        <w:pStyle w:val="ItemDetail"/>
        <w:keepNext/>
        <w:widowControl/>
      </w:pPr>
      <w:r>
        <w:rPr>
          <w:rFonts w:ascii="Calibri" w:hAnsi="Calibri"/>
          <w:b/>
          <w:i w:val="0"/>
          <w:color w:val="1F4D78"/>
          <w:sz w:val="20"/>
        </w:rPr>
        <w:t xml:space="preserve">Institution / location: </w:t>
      </w:r>
      <w:r>
        <w:rPr>
          <w:rFonts w:ascii="Calibri" w:hAnsi="Calibri"/>
          <w:b w:val="0"/>
          <w:i w:val="0"/>
          <w:color w:val="20262D"/>
          <w:sz w:val="20"/>
        </w:rPr>
        <w:t>Khyber Pakhtunkhwa Assembly / Peshawar.</w:t>
      </w:r>
    </w:p>
    <w:p>
      <w:pPr>
        <w:pStyle w:val="ItemDetail"/>
        <w:keepNext w:val="0"/>
        <w:widowControl/>
      </w:pPr>
      <w:r>
        <w:rPr>
          <w:rFonts w:ascii="Calibri" w:hAnsi="Calibri"/>
          <w:b/>
          <w:i w:val="0"/>
          <w:color w:val="1F4D78"/>
          <w:sz w:val="20"/>
        </w:rPr>
        <w:t xml:space="preserve">Evidence: </w:t>
      </w:r>
      <w:r>
        <w:rPr>
          <w:rFonts w:ascii="Calibri" w:hAnsi="Calibri"/>
          <w:b w:val="0"/>
          <w:i w:val="0"/>
          <w:color w:val="20262D"/>
          <w:sz w:val="20"/>
        </w:rPr>
        <w:t>Credible reporting described passage on 21 August, while the Assembly’s live bill tracker still labels the measure Introduced and the Acts register has not established a corresponding Act.</w:t>
      </w:r>
    </w:p>
    <w:p>
      <w:pPr>
        <w:pStyle w:val="ItemDetail"/>
        <w:keepNext w:val="0"/>
        <w:widowControl/>
      </w:pPr>
      <w:r>
        <w:rPr>
          <w:rFonts w:ascii="Calibri" w:hAnsi="Calibri"/>
          <w:b/>
          <w:i w:val="0"/>
          <w:color w:val="1F4D78"/>
          <w:sz w:val="20"/>
        </w:rPr>
        <w:t xml:space="preserve">What changed: </w:t>
      </w:r>
      <w:r>
        <w:rPr>
          <w:rFonts w:ascii="Calibri" w:hAnsi="Calibri"/>
          <w:b w:val="0"/>
          <w:i w:val="0"/>
          <w:color w:val="20262D"/>
          <w:sz w:val="20"/>
        </w:rPr>
        <w:t>No post-cutoff reconciliation or Governor action surfaced.</w:t>
      </w:r>
    </w:p>
    <w:p>
      <w:pPr>
        <w:pStyle w:val="ItemDetail"/>
        <w:keepNext w:val="0"/>
        <w:widowControl/>
      </w:pPr>
      <w:r>
        <w:rPr>
          <w:rFonts w:ascii="Calibri" w:hAnsi="Calibri"/>
          <w:b/>
          <w:i w:val="0"/>
          <w:color w:val="1F4D78"/>
          <w:sz w:val="20"/>
        </w:rPr>
        <w:t xml:space="preserve">Why it matters: </w:t>
      </w:r>
      <w:r>
        <w:rPr>
          <w:rFonts w:ascii="Calibri" w:hAnsi="Calibri"/>
          <w:b w:val="0"/>
          <w:i w:val="0"/>
          <w:color w:val="20262D"/>
          <w:sz w:val="20"/>
        </w:rPr>
        <w:t>Banks, payment firms, merchants and provincial agencies should not treat the reported vote alone as proof that duties, penalties or implementation timelines are in force. The final text and commencement mechanism remain decisive.</w:t>
      </w:r>
    </w:p>
    <w:p>
      <w:pPr>
        <w:pStyle w:val="ItemDetail"/>
      </w:pPr>
      <w:r>
        <w:rPr>
          <w:rFonts w:ascii="Calibri" w:hAnsi="Calibri"/>
          <w:b/>
          <w:i w:val="0"/>
          <w:color w:val="1F4D78"/>
          <w:sz w:val="20"/>
        </w:rPr>
        <w:t xml:space="preserve">Confidence: </w:t>
      </w:r>
      <w:r>
        <w:rPr>
          <w:rFonts w:ascii="Calibri" w:hAnsi="Calibri"/>
          <w:b/>
          <w:i w:val="0"/>
          <w:color w:val="7A5A00"/>
          <w:sz w:val="20"/>
        </w:rPr>
        <w:t>Medium because credible reporting conflicts with the stale official tracker.</w:t>
      </w:r>
    </w:p>
    <w:p>
      <w:pPr>
        <w:pStyle w:val="ItemLead"/>
      </w:pPr>
      <w:r>
        <w:rPr>
          <w:rFonts w:ascii="Calibri" w:hAnsi="Calibri"/>
          <w:b/>
          <w:i w:val="0"/>
          <w:color w:val="0B2545"/>
          <w:sz w:val="23"/>
        </w:rPr>
        <w:t>No additional provincial or municipal AI/digital milestone.</w:t>
      </w:r>
    </w:p>
    <w:p>
      <w:pPr>
        <w:pStyle w:val="ItemDetail"/>
        <w:keepNext/>
        <w:widowControl/>
      </w:pPr>
      <w:r>
        <w:rPr>
          <w:rFonts w:ascii="Calibri" w:hAnsi="Calibri"/>
          <w:b/>
          <w:i w:val="0"/>
          <w:color w:val="1F4D78"/>
          <w:sz w:val="20"/>
        </w:rPr>
        <w:t xml:space="preserve">Status: </w:t>
      </w:r>
      <w:r>
        <w:rPr>
          <w:rFonts w:ascii="Calibri" w:hAnsi="Calibri"/>
          <w:b w:val="0"/>
          <w:i w:val="0"/>
          <w:color w:val="20262D"/>
          <w:sz w:val="20"/>
        </w:rPr>
        <w:t>No change verified.</w:t>
      </w:r>
    </w:p>
    <w:p>
      <w:pPr>
        <w:pStyle w:val="ItemDetail"/>
        <w:keepNext/>
        <w:widowControl/>
      </w:pPr>
      <w:r>
        <w:rPr>
          <w:rFonts w:ascii="Calibri" w:hAnsi="Calibri"/>
          <w:b/>
          <w:i w:val="0"/>
          <w:color w:val="1F4D78"/>
          <w:sz w:val="20"/>
        </w:rPr>
        <w:t xml:space="preserve">Institution / location: </w:t>
      </w:r>
      <w:r>
        <w:rPr>
          <w:rFonts w:ascii="Calibri" w:hAnsi="Calibri"/>
          <w:b w:val="0"/>
          <w:i w:val="0"/>
          <w:color w:val="20262D"/>
          <w:sz w:val="20"/>
        </w:rPr>
        <w:t>Punjab, Sindh, Khyber Pakhtunkhwa, Balochistan, Gilgit-Baltistan and local bodies.</w:t>
      </w:r>
    </w:p>
    <w:p>
      <w:pPr>
        <w:pStyle w:val="ItemDetail"/>
        <w:keepNext w:val="0"/>
        <w:widowControl/>
      </w:pPr>
      <w:r>
        <w:rPr>
          <w:rFonts w:ascii="Calibri" w:hAnsi="Calibri"/>
          <w:b/>
          <w:i w:val="0"/>
          <w:color w:val="1F4D78"/>
          <w:sz w:val="20"/>
        </w:rPr>
        <w:t xml:space="preserve">Evidence: </w:t>
      </w:r>
      <w:r>
        <w:rPr>
          <w:rFonts w:ascii="Calibri" w:hAnsi="Calibri"/>
          <w:b w:val="0"/>
          <w:i w:val="0"/>
          <w:color w:val="20262D"/>
          <w:sz w:val="20"/>
        </w:rPr>
        <w:t>Targeted checks did not identify a post-cutoff law, rule, budget release, tender award, facility milestone or operational deployment with a reliable timestamp.</w:t>
      </w:r>
    </w:p>
    <w:p>
      <w:pPr>
        <w:pStyle w:val="ItemDetail"/>
        <w:keepNext w:val="0"/>
        <w:widowControl/>
      </w:pPr>
      <w:r>
        <w:rPr>
          <w:rFonts w:ascii="Calibri" w:hAnsi="Calibri"/>
          <w:b/>
          <w:i w:val="0"/>
          <w:color w:val="1F4D78"/>
          <w:sz w:val="20"/>
        </w:rPr>
        <w:t xml:space="preserve">What changed: </w:t>
      </w:r>
      <w:r>
        <w:rPr>
          <w:rFonts w:ascii="Calibri" w:hAnsi="Calibri"/>
          <w:b w:val="0"/>
          <w:i w:val="0"/>
          <w:color w:val="20262D"/>
          <w:sz w:val="20"/>
        </w:rPr>
        <w:t>None.</w:t>
      </w:r>
    </w:p>
    <w:p>
      <w:pPr>
        <w:pStyle w:val="ItemDetail"/>
        <w:keepNext w:val="0"/>
        <w:widowControl/>
      </w:pPr>
      <w:r>
        <w:rPr>
          <w:rFonts w:ascii="Calibri" w:hAnsi="Calibri"/>
          <w:b/>
          <w:i w:val="0"/>
          <w:color w:val="1F4D78"/>
          <w:sz w:val="20"/>
        </w:rPr>
        <w:t xml:space="preserve">Why it matters: </w:t>
      </w:r>
      <w:r>
        <w:rPr>
          <w:rFonts w:ascii="Calibri" w:hAnsi="Calibri"/>
          <w:b w:val="0"/>
          <w:i w:val="0"/>
          <w:color w:val="20262D"/>
          <w:sz w:val="20"/>
        </w:rPr>
        <w:t>Provincial publication systems remain uneven, so date-only announcements require later reconciliation before inclusion as strict deltas.</w:t>
      </w:r>
    </w:p>
    <w:p>
      <w:pPr>
        <w:pStyle w:val="ItemDetail"/>
      </w:pPr>
      <w:r>
        <w:rPr>
          <w:rFonts w:ascii="Calibri" w:hAnsi="Calibri"/>
          <w:b/>
          <w:i w:val="0"/>
          <w:color w:val="1F4D78"/>
          <w:sz w:val="20"/>
        </w:rPr>
        <w:t xml:space="preserve">Confidence: </w:t>
      </w:r>
      <w:r>
        <w:rPr>
          <w:rFonts w:ascii="Calibri" w:hAnsi="Calibri"/>
          <w:b/>
          <w:i w:val="0"/>
          <w:color w:val="1F4D78"/>
          <w:sz w:val="20"/>
        </w:rPr>
        <w:t>Medium.</w:t>
      </w:r>
    </w:p>
    <w:p>
      <w:pPr>
        <w:pStyle w:val="Heading1"/>
      </w:pPr>
      <w:r>
        <w:t>7. What changed / why it matters</w:t>
      </w:r>
    </w:p>
    <w:tbl>
      <w:tblPr>
        <w:tblStyle w:val="TableGrid"/>
        <w:tblW w:type="dxa" w:w="9360"/>
        <w:jc w:val="left"/>
        <w:tblLayout w:type="fixed"/>
        <w:tblLook w:firstColumn="1" w:firstRow="1" w:lastColumn="0" w:lastRow="0" w:noHBand="0" w:noVBand="1" w:val="04A0"/>
        <w:tblInd w:type="dxa" w:w="120"/>
      </w:tblPr>
      <w:tblGrid>
        <w:gridCol w:w="1700"/>
        <w:gridCol w:w="2800"/>
        <w:gridCol w:w="4860"/>
      </w:tblGrid>
      <w:tr>
        <w:trPr>
          <w:tblHeader w:val="true"/>
        </w:trPr>
        <w:tc>
          <w:tcPr>
            <w:tcW w:type="dxa" w:w="1700"/>
            <w:shd w:fill="F2F4F7"/>
            <w:tcBorders>
              <w:top w:val="single" w:sz="6" w:color="D9DEE5"/>
              <w:left w:val="single" w:sz="6" w:color="D9DEE5"/>
              <w:bottom w:val="single" w:sz="6" w:color="D9DEE5"/>
              <w:right w:val="single" w:sz="6" w:color="D9DEE5"/>
              <w:insideH w:val="single" w:sz="6" w:color="D9DEE5"/>
              <w:insideV w:val="single" w:sz="6" w:color="D9DEE5"/>
            </w:tcBorders>
            <w:vAlign w:val="center"/>
            <w:tcMar>
              <w:top w:w="80" w:type="dxa"/>
              <w:bottom w:w="80" w:type="dxa"/>
              <w:start w:w="120" w:type="dxa"/>
              <w:end w:w="120" w:type="dxa"/>
            </w:tcMar>
          </w:tcPr>
          <w:p>
            <w:pPr>
              <w:jc w:val="center"/>
            </w:pPr>
            <w:r>
              <w:rPr>
                <w:rFonts w:ascii="Calibri" w:hAnsi="Calibri"/>
                <w:b/>
                <w:i w:val="0"/>
                <w:color w:val="0B2545"/>
                <w:sz w:val="19"/>
              </w:rPr>
              <w:t>Signal</w:t>
            </w:r>
          </w:p>
        </w:tc>
        <w:tc>
          <w:tcPr>
            <w:tcW w:type="dxa" w:w="2800"/>
            <w:shd w:fill="F2F4F7"/>
            <w:tcBorders>
              <w:top w:val="single" w:sz="6" w:color="D9DEE5"/>
              <w:left w:val="single" w:sz="6" w:color="D9DEE5"/>
              <w:bottom w:val="single" w:sz="6" w:color="D9DEE5"/>
              <w:right w:val="single" w:sz="6" w:color="D9DEE5"/>
              <w:insideH w:val="single" w:sz="6" w:color="D9DEE5"/>
              <w:insideV w:val="single" w:sz="6" w:color="D9DEE5"/>
            </w:tcBorders>
            <w:vAlign w:val="center"/>
            <w:tcMar>
              <w:top w:w="80" w:type="dxa"/>
              <w:bottom w:w="80" w:type="dxa"/>
              <w:start w:w="120" w:type="dxa"/>
              <w:end w:w="120" w:type="dxa"/>
            </w:tcMar>
          </w:tcPr>
          <w:p>
            <w:pPr>
              <w:jc w:val="center"/>
            </w:pPr>
            <w:r>
              <w:rPr>
                <w:rFonts w:ascii="Calibri" w:hAnsi="Calibri"/>
                <w:b/>
                <w:i w:val="0"/>
                <w:color w:val="0B2545"/>
                <w:sz w:val="19"/>
              </w:rPr>
              <w:t>Verified change</w:t>
            </w:r>
          </w:p>
        </w:tc>
        <w:tc>
          <w:tcPr>
            <w:tcW w:type="dxa" w:w="4860"/>
            <w:shd w:fill="F2F4F7"/>
            <w:tcBorders>
              <w:top w:val="single" w:sz="6" w:color="D9DEE5"/>
              <w:left w:val="single" w:sz="6" w:color="D9DEE5"/>
              <w:bottom w:val="single" w:sz="6" w:color="D9DEE5"/>
              <w:right w:val="single" w:sz="6" w:color="D9DEE5"/>
              <w:insideH w:val="single" w:sz="6" w:color="D9DEE5"/>
              <w:insideV w:val="single" w:sz="6" w:color="D9DEE5"/>
            </w:tcBorders>
            <w:vAlign w:val="center"/>
            <w:tcMar>
              <w:top w:w="80" w:type="dxa"/>
              <w:bottom w:w="80" w:type="dxa"/>
              <w:start w:w="120" w:type="dxa"/>
              <w:end w:w="120" w:type="dxa"/>
            </w:tcMar>
          </w:tcPr>
          <w:p>
            <w:pPr>
              <w:jc w:val="center"/>
            </w:pPr>
            <w:r>
              <w:rPr>
                <w:rFonts w:ascii="Calibri" w:hAnsi="Calibri"/>
                <w:b/>
                <w:i w:val="0"/>
                <w:color w:val="0B2545"/>
                <w:sz w:val="19"/>
              </w:rPr>
              <w:t>Decision implication</w:t>
            </w:r>
          </w:p>
        </w:tc>
      </w:tr>
      <w:tr>
        <w:trPr>
          <w:cantSplit/>
        </w:trPr>
        <w:tc>
          <w:tcPr>
            <w:tcW w:type="dxa" w:w="1700"/>
            <w:tcBorders>
              <w:top w:val="single" w:sz="6" w:color="D9DEE5"/>
              <w:left w:val="single" w:sz="6" w:color="D9DEE5"/>
              <w:bottom w:val="single" w:sz="6" w:color="D9DEE5"/>
              <w:right w:val="single" w:sz="6" w:color="D9DEE5"/>
              <w:insideH w:val="single" w:sz="6" w:color="D9DEE5"/>
              <w:insideV w:val="single" w:sz="6" w:color="D9DEE5"/>
            </w:tcBorders>
            <w:vAlign w:val="center"/>
            <w:tcMar>
              <w:top w:w="80" w:type="dxa"/>
              <w:bottom w:w="80" w:type="dxa"/>
              <w:start w:w="120" w:type="dxa"/>
              <w:end w:w="120" w:type="dxa"/>
            </w:tcMar>
          </w:tcPr>
          <w:p>
            <w:pPr>
              <w:jc w:val="center"/>
            </w:pPr>
            <w:r>
              <w:rPr>
                <w:rFonts w:ascii="Calibri" w:hAnsi="Calibri"/>
                <w:b/>
                <w:i w:val="0"/>
                <w:color w:val="0B2545"/>
                <w:sz w:val="18"/>
              </w:rPr>
              <w:t>Policy / law</w:t>
            </w:r>
          </w:p>
        </w:tc>
        <w:tc>
          <w:tcPr>
            <w:tcW w:type="dxa" w:w="2800"/>
            <w:tcBorders>
              <w:top w:val="single" w:sz="6" w:color="D9DEE5"/>
              <w:left w:val="single" w:sz="6" w:color="D9DEE5"/>
              <w:bottom w:val="single" w:sz="6" w:color="D9DEE5"/>
              <w:right w:val="single" w:sz="6" w:color="D9DEE5"/>
              <w:insideH w:val="single" w:sz="6" w:color="D9DEE5"/>
              <w:insideV w:val="single" w:sz="6" w:color="D9DEE5"/>
            </w:tcBorders>
            <w:vAlign w:val="center"/>
            <w:tcMar>
              <w:top w:w="80" w:type="dxa"/>
              <w:bottom w:w="80" w:type="dxa"/>
              <w:start w:w="120" w:type="dxa"/>
              <w:end w:w="120" w:type="dxa"/>
            </w:tcMar>
          </w:tcPr>
          <w:p>
            <w:pPr>
              <w:jc w:val="center"/>
            </w:pPr>
            <w:r>
              <w:rPr>
                <w:rFonts w:ascii="Calibri" w:hAnsi="Calibri"/>
                <w:b w:val="0"/>
                <w:i w:val="0"/>
                <w:color w:val="20262D"/>
                <w:sz w:val="18"/>
              </w:rPr>
              <w:t>None</w:t>
            </w:r>
          </w:p>
        </w:tc>
        <w:tc>
          <w:tcPr>
            <w:tcW w:type="dxa" w:w="4860"/>
            <w:tcBorders>
              <w:top w:val="single" w:sz="6" w:color="D9DEE5"/>
              <w:left w:val="single" w:sz="6" w:color="D9DEE5"/>
              <w:bottom w:val="single" w:sz="6" w:color="D9DEE5"/>
              <w:right w:val="single" w:sz="6" w:color="D9DEE5"/>
              <w:insideH w:val="single" w:sz="6" w:color="D9DEE5"/>
              <w:insideV w:val="single" w:sz="6" w:color="D9DEE5"/>
            </w:tcBorders>
            <w:vAlign w:val="center"/>
            <w:tcMar>
              <w:top w:w="80" w:type="dxa"/>
              <w:bottom w:w="80" w:type="dxa"/>
              <w:start w:w="120" w:type="dxa"/>
              <w:end w:w="120" w:type="dxa"/>
            </w:tcMar>
          </w:tcPr>
          <w:p>
            <w:pPr>
              <w:jc w:val="left"/>
            </w:pPr>
            <w:r>
              <w:rPr>
                <w:rFonts w:ascii="Calibri" w:hAnsi="Calibri"/>
                <w:b w:val="0"/>
                <w:i w:val="0"/>
                <w:color w:val="20262D"/>
                <w:sz w:val="18"/>
              </w:rPr>
              <w:t>Keep approved, draft, notified and implemented statuses separate.</w:t>
            </w:r>
          </w:p>
        </w:tc>
      </w:tr>
      <w:tr>
        <w:trPr>
          <w:cantSplit/>
        </w:trPr>
        <w:tc>
          <w:tcPr>
            <w:tcW w:type="dxa" w:w="1700"/>
            <w:tcBorders>
              <w:top w:val="single" w:sz="6" w:color="D9DEE5"/>
              <w:left w:val="single" w:sz="6" w:color="D9DEE5"/>
              <w:bottom w:val="single" w:sz="6" w:color="D9DEE5"/>
              <w:right w:val="single" w:sz="6" w:color="D9DEE5"/>
              <w:insideH w:val="single" w:sz="6" w:color="D9DEE5"/>
              <w:insideV w:val="single" w:sz="6" w:color="D9DEE5"/>
            </w:tcBorders>
            <w:vAlign w:val="center"/>
            <w:tcMar>
              <w:top w:w="80" w:type="dxa"/>
              <w:bottom w:w="80" w:type="dxa"/>
              <w:start w:w="120" w:type="dxa"/>
              <w:end w:w="120" w:type="dxa"/>
            </w:tcMar>
          </w:tcPr>
          <w:p>
            <w:pPr>
              <w:jc w:val="center"/>
            </w:pPr>
            <w:r>
              <w:rPr>
                <w:rFonts w:ascii="Calibri" w:hAnsi="Calibri"/>
                <w:b/>
                <w:i w:val="0"/>
                <w:color w:val="0B2545"/>
                <w:sz w:val="18"/>
              </w:rPr>
              <w:t>Data / cyber</w:t>
            </w:r>
          </w:p>
        </w:tc>
        <w:tc>
          <w:tcPr>
            <w:tcW w:type="dxa" w:w="2800"/>
            <w:tcBorders>
              <w:top w:val="single" w:sz="6" w:color="D9DEE5"/>
              <w:left w:val="single" w:sz="6" w:color="D9DEE5"/>
              <w:bottom w:val="single" w:sz="6" w:color="D9DEE5"/>
              <w:right w:val="single" w:sz="6" w:color="D9DEE5"/>
              <w:insideH w:val="single" w:sz="6" w:color="D9DEE5"/>
              <w:insideV w:val="single" w:sz="6" w:color="D9DEE5"/>
            </w:tcBorders>
            <w:vAlign w:val="center"/>
            <w:tcMar>
              <w:top w:w="80" w:type="dxa"/>
              <w:bottom w:w="80" w:type="dxa"/>
              <w:start w:w="120" w:type="dxa"/>
              <w:end w:w="120" w:type="dxa"/>
            </w:tcMar>
          </w:tcPr>
          <w:p>
            <w:pPr>
              <w:jc w:val="center"/>
            </w:pPr>
            <w:r>
              <w:rPr>
                <w:rFonts w:ascii="Calibri" w:hAnsi="Calibri"/>
                <w:b w:val="0"/>
                <w:i w:val="0"/>
                <w:color w:val="20262D"/>
                <w:sz w:val="18"/>
              </w:rPr>
              <w:t>None</w:t>
            </w:r>
          </w:p>
        </w:tc>
        <w:tc>
          <w:tcPr>
            <w:tcW w:type="dxa" w:w="4860"/>
            <w:tcBorders>
              <w:top w:val="single" w:sz="6" w:color="D9DEE5"/>
              <w:left w:val="single" w:sz="6" w:color="D9DEE5"/>
              <w:bottom w:val="single" w:sz="6" w:color="D9DEE5"/>
              <w:right w:val="single" w:sz="6" w:color="D9DEE5"/>
              <w:insideH w:val="single" w:sz="6" w:color="D9DEE5"/>
              <w:insideV w:val="single" w:sz="6" w:color="D9DEE5"/>
            </w:tcBorders>
            <w:vAlign w:val="center"/>
            <w:tcMar>
              <w:top w:w="80" w:type="dxa"/>
              <w:bottom w:w="80" w:type="dxa"/>
              <w:start w:w="120" w:type="dxa"/>
              <w:end w:w="120" w:type="dxa"/>
            </w:tcMar>
          </w:tcPr>
          <w:p>
            <w:pPr>
              <w:jc w:val="left"/>
            </w:pPr>
            <w:r>
              <w:rPr>
                <w:rFonts w:ascii="Calibri" w:hAnsi="Calibri"/>
                <w:b w:val="0"/>
                <w:i w:val="0"/>
                <w:color w:val="20262D"/>
                <w:sz w:val="18"/>
              </w:rPr>
              <w:t>PVARA obligations remain active; general data-law uncertainty persists.</w:t>
            </w:r>
          </w:p>
        </w:tc>
      </w:tr>
      <w:tr>
        <w:trPr>
          <w:cantSplit/>
        </w:trPr>
        <w:tc>
          <w:tcPr>
            <w:tcW w:type="dxa" w:w="1700"/>
            <w:tcBorders>
              <w:top w:val="single" w:sz="6" w:color="D9DEE5"/>
              <w:left w:val="single" w:sz="6" w:color="D9DEE5"/>
              <w:bottom w:val="single" w:sz="6" w:color="D9DEE5"/>
              <w:right w:val="single" w:sz="6" w:color="D9DEE5"/>
              <w:insideH w:val="single" w:sz="6" w:color="D9DEE5"/>
              <w:insideV w:val="single" w:sz="6" w:color="D9DEE5"/>
            </w:tcBorders>
            <w:vAlign w:val="center"/>
            <w:tcMar>
              <w:top w:w="80" w:type="dxa"/>
              <w:bottom w:w="80" w:type="dxa"/>
              <w:start w:w="120" w:type="dxa"/>
              <w:end w:w="120" w:type="dxa"/>
            </w:tcMar>
          </w:tcPr>
          <w:p>
            <w:pPr>
              <w:jc w:val="center"/>
            </w:pPr>
            <w:r>
              <w:rPr>
                <w:rFonts w:ascii="Calibri" w:hAnsi="Calibri"/>
                <w:b/>
                <w:i w:val="0"/>
                <w:color w:val="0B2545"/>
                <w:sz w:val="18"/>
              </w:rPr>
              <w:t>Infrastructure</w:t>
            </w:r>
          </w:p>
        </w:tc>
        <w:tc>
          <w:tcPr>
            <w:tcW w:type="dxa" w:w="2800"/>
            <w:tcBorders>
              <w:top w:val="single" w:sz="6" w:color="D9DEE5"/>
              <w:left w:val="single" w:sz="6" w:color="D9DEE5"/>
              <w:bottom w:val="single" w:sz="6" w:color="D9DEE5"/>
              <w:right w:val="single" w:sz="6" w:color="D9DEE5"/>
              <w:insideH w:val="single" w:sz="6" w:color="D9DEE5"/>
              <w:insideV w:val="single" w:sz="6" w:color="D9DEE5"/>
            </w:tcBorders>
            <w:vAlign w:val="center"/>
            <w:tcMar>
              <w:top w:w="80" w:type="dxa"/>
              <w:bottom w:w="80" w:type="dxa"/>
              <w:start w:w="120" w:type="dxa"/>
              <w:end w:w="120" w:type="dxa"/>
            </w:tcMar>
          </w:tcPr>
          <w:p>
            <w:pPr>
              <w:jc w:val="center"/>
            </w:pPr>
            <w:r>
              <w:rPr>
                <w:rFonts w:ascii="Calibri" w:hAnsi="Calibri"/>
                <w:b w:val="0"/>
                <w:i w:val="0"/>
                <w:color w:val="20262D"/>
                <w:sz w:val="18"/>
              </w:rPr>
              <w:t>None</w:t>
            </w:r>
          </w:p>
        </w:tc>
        <w:tc>
          <w:tcPr>
            <w:tcW w:type="dxa" w:w="4860"/>
            <w:tcBorders>
              <w:top w:val="single" w:sz="6" w:color="D9DEE5"/>
              <w:left w:val="single" w:sz="6" w:color="D9DEE5"/>
              <w:bottom w:val="single" w:sz="6" w:color="D9DEE5"/>
              <w:right w:val="single" w:sz="6" w:color="D9DEE5"/>
              <w:insideH w:val="single" w:sz="6" w:color="D9DEE5"/>
              <w:insideV w:val="single" w:sz="6" w:color="D9DEE5"/>
            </w:tcBorders>
            <w:vAlign w:val="center"/>
            <w:tcMar>
              <w:top w:w="80" w:type="dxa"/>
              <w:bottom w:w="80" w:type="dxa"/>
              <w:start w:w="120" w:type="dxa"/>
              <w:end w:w="120" w:type="dxa"/>
            </w:tcMar>
          </w:tcPr>
          <w:p>
            <w:pPr>
              <w:jc w:val="left"/>
            </w:pPr>
            <w:r>
              <w:rPr>
                <w:rFonts w:ascii="Calibri" w:hAnsi="Calibri"/>
                <w:b w:val="0"/>
                <w:i w:val="0"/>
                <w:color w:val="20262D"/>
                <w:sz w:val="18"/>
              </w:rPr>
              <w:t>Demand physical, contractual and acceptance evidence before counting capacity.</w:t>
            </w:r>
          </w:p>
        </w:tc>
      </w:tr>
      <w:tr>
        <w:trPr>
          <w:cantSplit/>
        </w:trPr>
        <w:tc>
          <w:tcPr>
            <w:tcW w:type="dxa" w:w="1700"/>
            <w:tcBorders>
              <w:top w:val="single" w:sz="6" w:color="D9DEE5"/>
              <w:left w:val="single" w:sz="6" w:color="D9DEE5"/>
              <w:bottom w:val="single" w:sz="6" w:color="D9DEE5"/>
              <w:right w:val="single" w:sz="6" w:color="D9DEE5"/>
              <w:insideH w:val="single" w:sz="6" w:color="D9DEE5"/>
              <w:insideV w:val="single" w:sz="6" w:color="D9DEE5"/>
            </w:tcBorders>
            <w:vAlign w:val="center"/>
            <w:tcMar>
              <w:top w:w="80" w:type="dxa"/>
              <w:bottom w:w="80" w:type="dxa"/>
              <w:start w:w="120" w:type="dxa"/>
              <w:end w:w="120" w:type="dxa"/>
            </w:tcMar>
          </w:tcPr>
          <w:p>
            <w:pPr>
              <w:jc w:val="center"/>
            </w:pPr>
            <w:r>
              <w:rPr>
                <w:rFonts w:ascii="Calibri" w:hAnsi="Calibri"/>
                <w:b/>
                <w:i w:val="0"/>
                <w:color w:val="0B2545"/>
                <w:sz w:val="18"/>
              </w:rPr>
              <w:t>Procurement</w:t>
            </w:r>
          </w:p>
        </w:tc>
        <w:tc>
          <w:tcPr>
            <w:tcW w:type="dxa" w:w="2800"/>
            <w:tcBorders>
              <w:top w:val="single" w:sz="6" w:color="D9DEE5"/>
              <w:left w:val="single" w:sz="6" w:color="D9DEE5"/>
              <w:bottom w:val="single" w:sz="6" w:color="D9DEE5"/>
              <w:right w:val="single" w:sz="6" w:color="D9DEE5"/>
              <w:insideH w:val="single" w:sz="6" w:color="D9DEE5"/>
              <w:insideV w:val="single" w:sz="6" w:color="D9DEE5"/>
            </w:tcBorders>
            <w:vAlign w:val="center"/>
            <w:tcMar>
              <w:top w:w="80" w:type="dxa"/>
              <w:bottom w:w="80" w:type="dxa"/>
              <w:start w:w="120" w:type="dxa"/>
              <w:end w:w="120" w:type="dxa"/>
            </w:tcMar>
          </w:tcPr>
          <w:p>
            <w:pPr>
              <w:jc w:val="center"/>
            </w:pPr>
            <w:r>
              <w:rPr>
                <w:rFonts w:ascii="Calibri" w:hAnsi="Calibri"/>
                <w:b w:val="0"/>
                <w:i w:val="0"/>
                <w:color w:val="20262D"/>
                <w:sz w:val="18"/>
              </w:rPr>
              <w:t>PPRA contracts 534 → 536; both out of scope</w:t>
            </w:r>
          </w:p>
        </w:tc>
        <w:tc>
          <w:tcPr>
            <w:tcW w:type="dxa" w:w="4860"/>
            <w:tcBorders>
              <w:top w:val="single" w:sz="6" w:color="D9DEE5"/>
              <w:left w:val="single" w:sz="6" w:color="D9DEE5"/>
              <w:bottom w:val="single" w:sz="6" w:color="D9DEE5"/>
              <w:right w:val="single" w:sz="6" w:color="D9DEE5"/>
              <w:insideH w:val="single" w:sz="6" w:color="D9DEE5"/>
              <w:insideV w:val="single" w:sz="6" w:color="D9DEE5"/>
            </w:tcBorders>
            <w:vAlign w:val="center"/>
            <w:tcMar>
              <w:top w:w="80" w:type="dxa"/>
              <w:bottom w:w="80" w:type="dxa"/>
              <w:start w:w="120" w:type="dxa"/>
              <w:end w:w="120" w:type="dxa"/>
            </w:tcMar>
          </w:tcPr>
          <w:p>
            <w:pPr>
              <w:jc w:val="left"/>
            </w:pPr>
            <w:r>
              <w:rPr>
                <w:rFonts w:ascii="Calibri" w:hAnsi="Calibri"/>
                <w:b w:val="0"/>
                <w:i w:val="0"/>
                <w:color w:val="20262D"/>
                <w:sz w:val="18"/>
              </w:rPr>
              <w:t>Treat live-counter movement as portal activity, not automatically as investment.</w:t>
            </w:r>
          </w:p>
        </w:tc>
      </w:tr>
      <w:tr>
        <w:trPr>
          <w:cantSplit/>
        </w:trPr>
        <w:tc>
          <w:tcPr>
            <w:tcW w:type="dxa" w:w="1700"/>
            <w:tcBorders>
              <w:top w:val="single" w:sz="6" w:color="D9DEE5"/>
              <w:left w:val="single" w:sz="6" w:color="D9DEE5"/>
              <w:bottom w:val="single" w:sz="6" w:color="D9DEE5"/>
              <w:right w:val="single" w:sz="6" w:color="D9DEE5"/>
              <w:insideH w:val="single" w:sz="6" w:color="D9DEE5"/>
              <w:insideV w:val="single" w:sz="6" w:color="D9DEE5"/>
            </w:tcBorders>
            <w:vAlign w:val="center"/>
            <w:tcMar>
              <w:top w:w="80" w:type="dxa"/>
              <w:bottom w:w="80" w:type="dxa"/>
              <w:start w:w="120" w:type="dxa"/>
              <w:end w:w="120" w:type="dxa"/>
            </w:tcMar>
          </w:tcPr>
          <w:p>
            <w:pPr>
              <w:jc w:val="center"/>
            </w:pPr>
            <w:r>
              <w:rPr>
                <w:rFonts w:ascii="Calibri" w:hAnsi="Calibri"/>
                <w:b/>
                <w:i w:val="0"/>
                <w:color w:val="0B2545"/>
                <w:sz w:val="18"/>
              </w:rPr>
              <w:t>Provincial</w:t>
            </w:r>
          </w:p>
        </w:tc>
        <w:tc>
          <w:tcPr>
            <w:tcW w:type="dxa" w:w="2800"/>
            <w:tcBorders>
              <w:top w:val="single" w:sz="6" w:color="D9DEE5"/>
              <w:left w:val="single" w:sz="6" w:color="D9DEE5"/>
              <w:bottom w:val="single" w:sz="6" w:color="D9DEE5"/>
              <w:right w:val="single" w:sz="6" w:color="D9DEE5"/>
              <w:insideH w:val="single" w:sz="6" w:color="D9DEE5"/>
              <w:insideV w:val="single" w:sz="6" w:color="D9DEE5"/>
            </w:tcBorders>
            <w:vAlign w:val="center"/>
            <w:tcMar>
              <w:top w:w="80" w:type="dxa"/>
              <w:bottom w:w="80" w:type="dxa"/>
              <w:start w:w="120" w:type="dxa"/>
              <w:end w:w="120" w:type="dxa"/>
            </w:tcMar>
          </w:tcPr>
          <w:p>
            <w:pPr>
              <w:jc w:val="center"/>
            </w:pPr>
            <w:r>
              <w:rPr>
                <w:rFonts w:ascii="Calibri" w:hAnsi="Calibri"/>
                <w:b w:val="0"/>
                <w:i w:val="0"/>
                <w:color w:val="20262D"/>
                <w:sz w:val="18"/>
              </w:rPr>
              <w:t>None</w:t>
            </w:r>
          </w:p>
        </w:tc>
        <w:tc>
          <w:tcPr>
            <w:tcW w:type="dxa" w:w="4860"/>
            <w:tcBorders>
              <w:top w:val="single" w:sz="6" w:color="D9DEE5"/>
              <w:left w:val="single" w:sz="6" w:color="D9DEE5"/>
              <w:bottom w:val="single" w:sz="6" w:color="D9DEE5"/>
              <w:right w:val="single" w:sz="6" w:color="D9DEE5"/>
              <w:insideH w:val="single" w:sz="6" w:color="D9DEE5"/>
              <w:insideV w:val="single" w:sz="6" w:color="D9DEE5"/>
            </w:tcBorders>
            <w:vAlign w:val="center"/>
            <w:tcMar>
              <w:top w:w="80" w:type="dxa"/>
              <w:bottom w:w="80" w:type="dxa"/>
              <w:start w:w="120" w:type="dxa"/>
              <w:end w:w="120" w:type="dxa"/>
            </w:tcMar>
          </w:tcPr>
          <w:p>
            <w:pPr>
              <w:jc w:val="left"/>
            </w:pPr>
            <w:r>
              <w:rPr>
                <w:rFonts w:ascii="Calibri" w:hAnsi="Calibri"/>
                <w:b w:val="0"/>
                <w:i w:val="0"/>
                <w:color w:val="20262D"/>
                <w:sz w:val="18"/>
              </w:rPr>
              <w:t>Wait for authenticated text, assent and Gazette evidence on the KP bill.</w:t>
            </w:r>
          </w:p>
        </w:tc>
      </w:tr>
    </w:tbl>
    <w:p>
      <w:pPr>
        <w:pStyle w:val="Source"/>
      </w:pPr>
      <w:r>
        <w:rPr>
          <w:rFonts w:ascii="Calibri" w:hAnsi="Calibri"/>
          <w:b/>
          <w:i w:val="0"/>
          <w:color w:val="5B6571"/>
          <w:sz w:val="18"/>
        </w:rPr>
        <w:t xml:space="preserve">Assessment note: </w:t>
      </w:r>
      <w:r>
        <w:rPr>
          <w:rFonts w:ascii="Calibri" w:hAnsi="Calibri"/>
          <w:b w:val="0"/>
          <w:i w:val="0"/>
          <w:color w:val="5B6571"/>
          <w:sz w:val="18"/>
        </w:rPr>
        <w:t>‘None’ means no material, timestamp-verifiable change in the strict interval, not that the underlying policy area is inactive.</w:t>
      </w:r>
    </w:p>
    <w:p>
      <w:pPr>
        <w:pStyle w:val="Heading1"/>
      </w:pPr>
      <w:r>
        <w:t>8. Watchlist</w:t>
      </w:r>
    </w:p>
    <w:p>
      <w:pPr>
        <w:numPr>
          <w:ilvl w:val="0"/>
          <w:numId w:val="50"/>
        </w:numPr>
        <w:pStyle w:val="MonitorBullet"/>
      </w:pPr>
      <w:r>
        <w:rPr>
          <w:rFonts w:ascii="Calibri" w:hAnsi="Calibri"/>
          <w:b/>
          <w:i w:val="0"/>
          <w:color w:val="20262D"/>
          <w:sz w:val="22"/>
        </w:rPr>
        <w:t>Data Governance Policy 2026:</w:t>
      </w:r>
      <w:r>
        <w:rPr>
          <w:rFonts w:ascii="Calibri" w:hAnsi="Calibri"/>
          <w:b w:val="0"/>
          <w:i w:val="0"/>
          <w:color w:val="20262D"/>
          <w:sz w:val="22"/>
        </w:rPr>
        <w:t xml:space="preserve"> revised/final text, competent approval, formal publication, commencement, implementation schedule, PDA rules and retained rights/duties.</w:t>
      </w:r>
    </w:p>
    <w:p>
      <w:pPr>
        <w:numPr>
          <w:ilvl w:val="0"/>
          <w:numId w:val="50"/>
        </w:numPr>
        <w:pStyle w:val="MonitorBullet"/>
      </w:pPr>
      <w:r>
        <w:rPr>
          <w:rFonts w:ascii="Calibri" w:hAnsi="Calibri"/>
          <w:b/>
          <w:i w:val="0"/>
          <w:color w:val="20262D"/>
          <w:sz w:val="22"/>
        </w:rPr>
        <w:t>AI implementation:</w:t>
      </w:r>
      <w:r>
        <w:rPr>
          <w:rFonts w:ascii="Calibri" w:hAnsi="Calibri"/>
          <w:b w:val="0"/>
          <w:i w:val="0"/>
          <w:color w:val="20262D"/>
          <w:sz w:val="22"/>
        </w:rPr>
        <w:t xml:space="preserve"> AI Council/directorate instrument, standards, sandbox/register, impact assessment, audit/redress, National AI Fund mechanics, NAAI/AI-Hubs evaluation, compute delivery, testing and acceptance.</w:t>
      </w:r>
    </w:p>
    <w:p>
      <w:pPr>
        <w:numPr>
          <w:ilvl w:val="0"/>
          <w:numId w:val="50"/>
        </w:numPr>
        <w:pStyle w:val="MonitorBullet"/>
      </w:pPr>
      <w:r>
        <w:rPr>
          <w:rFonts w:ascii="Calibri" w:hAnsi="Calibri"/>
          <w:b/>
          <w:i w:val="0"/>
          <w:color w:val="20262D"/>
          <w:sz w:val="22"/>
        </w:rPr>
        <w:t>PVARA:</w:t>
      </w:r>
      <w:r>
        <w:rPr>
          <w:rFonts w:ascii="Calibri" w:hAnsi="Calibri"/>
          <w:b w:val="0"/>
          <w:i w:val="0"/>
          <w:color w:val="20262D"/>
          <w:sz w:val="22"/>
        </w:rPr>
        <w:t xml:space="preserve"> 5 September transition deadline, first NOC/licence decisions, local incorporation, FMU registration, cross-border/cloud implementation, breach compliance and enforcement.</w:t>
      </w:r>
    </w:p>
    <w:p>
      <w:pPr>
        <w:numPr>
          <w:ilvl w:val="0"/>
          <w:numId w:val="50"/>
        </w:numPr>
        <w:pStyle w:val="MonitorBullet"/>
      </w:pPr>
      <w:r>
        <w:rPr>
          <w:rFonts w:ascii="Calibri" w:hAnsi="Calibri"/>
          <w:b/>
          <w:i w:val="0"/>
          <w:color w:val="20262D"/>
          <w:sz w:val="22"/>
        </w:rPr>
        <w:t>Procurement:</w:t>
      </w:r>
      <w:r>
        <w:rPr>
          <w:rFonts w:ascii="Calibri" w:hAnsi="Calibri"/>
          <w:b w:val="0"/>
          <w:i w:val="0"/>
          <w:color w:val="20262D"/>
          <w:sz w:val="22"/>
        </w:rPr>
        <w:t xml:space="preserve"> PITB Government AI Cloud 24 August; NAAI hardware 25 August; PTA AI-powered DIRBS 27 August; AI-Hubs/PITB GPU 31 August; NADRA 3/7 September; NTC data-centre facility/certification 10 September and GPON 15 September.</w:t>
      </w:r>
    </w:p>
    <w:p>
      <w:pPr>
        <w:numPr>
          <w:ilvl w:val="0"/>
          <w:numId w:val="50"/>
        </w:numPr>
        <w:pStyle w:val="MonitorBullet"/>
      </w:pPr>
      <w:r>
        <w:rPr>
          <w:rFonts w:ascii="Calibri" w:hAnsi="Calibri"/>
          <w:b/>
          <w:i w:val="0"/>
          <w:color w:val="20262D"/>
          <w:sz w:val="22"/>
        </w:rPr>
        <w:t>KP digital-payments bill:</w:t>
      </w:r>
      <w:r>
        <w:rPr>
          <w:rFonts w:ascii="Calibri" w:hAnsi="Calibri"/>
          <w:b w:val="0"/>
          <w:i w:val="0"/>
          <w:color w:val="20262D"/>
          <w:sz w:val="22"/>
        </w:rPr>
        <w:t xml:space="preserve"> Governor presentation/assent/return, authenticated final text, Gazette publication, commencement, 90-day rules, regulator roles and data/security/grievance mechanics.</w:t>
      </w:r>
    </w:p>
    <w:p>
      <w:pPr>
        <w:numPr>
          <w:ilvl w:val="0"/>
          <w:numId w:val="50"/>
        </w:numPr>
        <w:pStyle w:val="MonitorBullet"/>
      </w:pPr>
      <w:r>
        <w:rPr>
          <w:rFonts w:ascii="Calibri" w:hAnsi="Calibri"/>
          <w:b/>
          <w:i w:val="0"/>
          <w:color w:val="20262D"/>
          <w:sz w:val="22"/>
        </w:rPr>
        <w:t>Google in Pakistan:</w:t>
      </w:r>
      <w:r>
        <w:rPr>
          <w:rFonts w:ascii="Calibri" w:hAnsi="Calibri"/>
          <w:b w:val="0"/>
          <w:i w:val="0"/>
          <w:color w:val="20262D"/>
          <w:sz w:val="22"/>
        </w:rPr>
        <w:t xml:space="preserve"> canonical premises, operating/employing entity, staffing, signed MoU, AI Centre funding/site/operator/timeline, task-force roster, data flows/hosting jurisdiction, procurement/audit and realised infrastructure investment. Google’s canonical office, Careers, Cloud and owned-data-centre directories still show no Pakistan listing.</w:t>
      </w:r>
    </w:p>
    <w:p>
      <w:pPr>
        <w:numPr>
          <w:ilvl w:val="0"/>
          <w:numId w:val="50"/>
        </w:numPr>
        <w:pStyle w:val="MonitorBullet"/>
      </w:pPr>
      <w:r>
        <w:rPr>
          <w:rFonts w:ascii="Calibri" w:hAnsi="Calibri"/>
          <w:b/>
          <w:i w:val="0"/>
          <w:color w:val="20262D"/>
          <w:sz w:val="22"/>
        </w:rPr>
        <w:t>CMPak/Zong Karachi data centre:</w:t>
      </w:r>
      <w:r>
        <w:rPr>
          <w:rFonts w:ascii="Calibri" w:hAnsi="Calibri"/>
          <w:b w:val="0"/>
          <w:i w:val="0"/>
          <w:color w:val="20262D"/>
          <w:sz w:val="22"/>
        </w:rPr>
        <w:t xml:space="preserve"> primary site and utility evidence, capacity, financing, grid feeds/load, tariff/PPA, cooling/water, certification, construction, energisation and activation.</w:t>
      </w:r>
    </w:p>
    <w:p>
      <w:pPr>
        <w:pStyle w:val="Heading1"/>
      </w:pPr>
      <w:r>
        <w:t>9. Method and limitations</w:t>
      </w:r>
    </w:p>
    <w:p>
      <w:pPr>
        <w:keepLines w:val="0"/>
      </w:pPr>
      <w:r>
        <w:rPr>
          <w:rFonts w:ascii="Calibri" w:hAnsi="Calibri"/>
          <w:b w:val="0"/>
          <w:i w:val="0"/>
          <w:color w:val="20262D"/>
          <w:sz w:val="22"/>
        </w:rPr>
        <w:t>The monitor compared live official registers and publication feeds against the previous briefing’s approximately 19:52 PKT cutoff, then ran targeted searches across policy, data, cyber, procurement, infrastructure, provincial and Google-presence tracks. Search snippets were not treated as proof; consequential status claims were checked against opened official pages wherever possible.</w:t>
      </w:r>
    </w:p>
    <w:p>
      <w:pPr>
        <w:keepLines w:val="0"/>
      </w:pPr>
      <w:r>
        <w:rPr>
          <w:rFonts w:ascii="Calibri" w:hAnsi="Calibri"/>
          <w:b w:val="0"/>
          <w:i w:val="0"/>
          <w:color w:val="20262D"/>
          <w:sz w:val="22"/>
        </w:rPr>
        <w:t>The interval is exceptionally narrow. PPRA and some provincial systems expose date-only or stale metadata, while publication and indexing can lag the underlying event. Confidence therefore measures evidence quality and timestamp precision, not the importance of the topic.</w:t>
      </w:r>
    </w:p>
    <w:p>
      <w:pPr>
        <w:pStyle w:val="Heading1"/>
      </w:pPr>
      <w:r>
        <w:t>10. Sources</w:t>
      </w:r>
    </w:p>
    <w:p>
      <w:pPr>
        <w:pStyle w:val="Source"/>
      </w:pPr>
      <w:r>
        <w:rPr>
          <w:rFonts w:ascii="Calibri" w:hAnsi="Calibri"/>
          <w:b/>
          <w:i w:val="0"/>
          <w:color w:val="0B2545"/>
          <w:sz w:val="18"/>
        </w:rPr>
        <w:t xml:space="preserve">1. MoITT | live policy register; accessed 22 Aug 2026 | </w:t>
      </w:r>
      <w:hyperlink r:id="rId11">
        <w:r>
          <w:rPr>
            <w:color w:val="2E74B5"/>
            <w:u w:val="single"/>
            <w:rFonts w:ascii="Calibri" w:hAnsi="Calibri"/>
          </w:rPr>
          <w:t>Policies</w:t>
        </w:r>
      </w:hyperlink>
      <w:r>
        <w:rPr>
          <w:rFonts w:ascii="Calibri" w:hAnsi="Calibri"/>
          <w:b w:val="0"/>
          <w:i w:val="0"/>
          <w:color w:val="5B6571"/>
          <w:sz w:val="18"/>
        </w:rPr>
        <w:t>. Entries date the AI policy 31 Jul 2025 and Data Governance Policy 26 Jun 2026</w:t>
      </w:r>
    </w:p>
    <w:p>
      <w:pPr>
        <w:pStyle w:val="Source"/>
      </w:pPr>
      <w:r>
        <w:rPr>
          <w:rFonts w:ascii="Calibri" w:hAnsi="Calibri"/>
          <w:b/>
          <w:i w:val="0"/>
          <w:color w:val="0B2545"/>
          <w:sz w:val="18"/>
        </w:rPr>
        <w:t xml:space="preserve">2. PDA | 5 Aug 2026 | </w:t>
      </w:r>
      <w:hyperlink r:id="rId12">
        <w:r>
          <w:rPr>
            <w:color w:val="2E74B5"/>
            <w:u w:val="single"/>
            <w:rFonts w:ascii="Calibri" w:hAnsi="Calibri"/>
          </w:rPr>
          <w:t>Consultations concluded on the National Data Governance Policy 2026</w:t>
        </w:r>
      </w:hyperlink>
    </w:p>
    <w:p>
      <w:pPr>
        <w:pStyle w:val="Source"/>
      </w:pPr>
      <w:r>
        <w:rPr>
          <w:rFonts w:ascii="Calibri" w:hAnsi="Calibri"/>
          <w:b/>
          <w:i w:val="0"/>
          <w:color w:val="0B2545"/>
          <w:sz w:val="18"/>
        </w:rPr>
        <w:t xml:space="preserve">3. PDA | 30 Jun 2026 | </w:t>
      </w:r>
      <w:hyperlink r:id="rId13">
        <w:r>
          <w:rPr>
            <w:color w:val="2E74B5"/>
            <w:u w:val="single"/>
            <w:rFonts w:ascii="Calibri" w:hAnsi="Calibri"/>
          </w:rPr>
          <w:t>Pakistan Digital Authority to Oversee the Country’s First National Data Governance Policy</w:t>
        </w:r>
      </w:hyperlink>
    </w:p>
    <w:p>
      <w:pPr>
        <w:pStyle w:val="Source"/>
      </w:pPr>
      <w:r>
        <w:rPr>
          <w:rFonts w:ascii="Calibri" w:hAnsi="Calibri"/>
          <w:b/>
          <w:i w:val="0"/>
          <w:color w:val="0B2545"/>
          <w:sz w:val="18"/>
        </w:rPr>
        <w:t xml:space="preserve">4. PKCERT | live 2026 register; accessed 22 Aug 2026 | </w:t>
      </w:r>
      <w:hyperlink r:id="rId14">
        <w:r>
          <w:rPr>
            <w:color w:val="2E74B5"/>
            <w:u w:val="single"/>
            <w:rFonts w:ascii="Calibri" w:hAnsi="Calibri"/>
          </w:rPr>
          <w:t>Advisories</w:t>
        </w:r>
      </w:hyperlink>
    </w:p>
    <w:p>
      <w:pPr>
        <w:pStyle w:val="Source"/>
      </w:pPr>
      <w:r>
        <w:rPr>
          <w:rFonts w:ascii="Calibri" w:hAnsi="Calibri"/>
          <w:b/>
          <w:i w:val="0"/>
          <w:color w:val="0B2545"/>
          <w:sz w:val="18"/>
        </w:rPr>
        <w:t xml:space="preserve">5. PVARA | 21 Aug 2026 instruments; accessed 22 Aug 2026 | </w:t>
      </w:r>
      <w:hyperlink r:id="rId15">
        <w:r>
          <w:rPr>
            <w:color w:val="2E74B5"/>
            <w:u w:val="single"/>
            <w:rFonts w:ascii="Calibri" w:hAnsi="Calibri"/>
          </w:rPr>
          <w:t>Regulations</w:t>
        </w:r>
      </w:hyperlink>
    </w:p>
    <w:p>
      <w:pPr>
        <w:pStyle w:val="Source"/>
      </w:pPr>
      <w:r>
        <w:rPr>
          <w:rFonts w:ascii="Calibri" w:hAnsi="Calibri"/>
          <w:b/>
          <w:i w:val="0"/>
          <w:color w:val="0B2545"/>
          <w:sz w:val="18"/>
        </w:rPr>
        <w:t xml:space="preserve">6. PVARA | live page; accessed 22 Aug 2026 | </w:t>
      </w:r>
      <w:hyperlink r:id="rId16">
        <w:r>
          <w:rPr>
            <w:color w:val="2E74B5"/>
            <w:u w:val="single"/>
            <w:rFonts w:ascii="Calibri" w:hAnsi="Calibri"/>
          </w:rPr>
          <w:t>VASP Licensing</w:t>
        </w:r>
      </w:hyperlink>
    </w:p>
    <w:p>
      <w:pPr>
        <w:pStyle w:val="Source"/>
      </w:pPr>
      <w:r>
        <w:rPr>
          <w:rFonts w:ascii="Calibri" w:hAnsi="Calibri"/>
          <w:b/>
          <w:i w:val="0"/>
          <w:color w:val="0B2545"/>
          <w:sz w:val="18"/>
        </w:rPr>
        <w:t xml:space="preserve">7. PID | live feed; latest visible 22 Aug 2026 12:54:47 PKT | </w:t>
      </w:r>
      <w:hyperlink r:id="rId17">
        <w:r>
          <w:rPr>
            <w:color w:val="2E74B5"/>
            <w:u w:val="single"/>
            <w:rFonts w:ascii="Calibri" w:hAnsi="Calibri"/>
          </w:rPr>
          <w:t>Press releases</w:t>
        </w:r>
      </w:hyperlink>
    </w:p>
    <w:p>
      <w:pPr>
        <w:pStyle w:val="Source"/>
      </w:pPr>
      <w:r>
        <w:rPr>
          <w:rFonts w:ascii="Calibri" w:hAnsi="Calibri"/>
          <w:b/>
          <w:i w:val="0"/>
          <w:color w:val="0B2545"/>
          <w:sz w:val="18"/>
        </w:rPr>
        <w:t xml:space="preserve">8. PPRA | live page; accessed 22 Aug 2026 | </w:t>
      </w:r>
      <w:hyperlink r:id="rId18">
        <w:r>
          <w:rPr>
            <w:color w:val="2E74B5"/>
            <w:u w:val="single"/>
            <w:rFonts w:ascii="Calibri" w:hAnsi="Calibri"/>
          </w:rPr>
          <w:t>Active Tenders</w:t>
        </w:r>
      </w:hyperlink>
    </w:p>
    <w:p>
      <w:pPr>
        <w:pStyle w:val="Source"/>
      </w:pPr>
      <w:r>
        <w:rPr>
          <w:rFonts w:ascii="Calibri" w:hAnsi="Calibri"/>
          <w:b/>
          <w:i w:val="0"/>
          <w:color w:val="0B2545"/>
          <w:sz w:val="18"/>
        </w:rPr>
        <w:t xml:space="preserve">9. PPRA | live page; accessed 22 Aug 2026 | </w:t>
      </w:r>
      <w:hyperlink r:id="rId19">
        <w:r>
          <w:rPr>
            <w:color w:val="2E74B5"/>
            <w:u w:val="single"/>
            <w:rFonts w:ascii="Calibri" w:hAnsi="Calibri"/>
          </w:rPr>
          <w:t>Evaluation Results</w:t>
        </w:r>
      </w:hyperlink>
    </w:p>
    <w:p>
      <w:pPr>
        <w:pStyle w:val="Source"/>
      </w:pPr>
      <w:r>
        <w:rPr>
          <w:rFonts w:ascii="Calibri" w:hAnsi="Calibri"/>
          <w:b/>
          <w:i w:val="0"/>
          <w:color w:val="0B2545"/>
          <w:sz w:val="18"/>
        </w:rPr>
        <w:t xml:space="preserve">10. PPRA | live page; accessed 22 Aug 2026 | </w:t>
      </w:r>
      <w:hyperlink r:id="rId20">
        <w:r>
          <w:rPr>
            <w:color w:val="2E74B5"/>
            <w:u w:val="single"/>
            <w:rFonts w:ascii="Calibri" w:hAnsi="Calibri"/>
          </w:rPr>
          <w:t>Procurement Contracts</w:t>
        </w:r>
      </w:hyperlink>
    </w:p>
    <w:p>
      <w:pPr>
        <w:pStyle w:val="Source"/>
      </w:pPr>
      <w:r>
        <w:rPr>
          <w:rFonts w:ascii="Calibri" w:hAnsi="Calibri"/>
          <w:b/>
          <w:i w:val="0"/>
          <w:color w:val="0B2545"/>
          <w:sz w:val="18"/>
        </w:rPr>
        <w:t xml:space="preserve">11. KP Assembly | live tracker; accessed 22 Aug 2026 | </w:t>
      </w:r>
      <w:hyperlink r:id="rId21">
        <w:r>
          <w:rPr>
            <w:color w:val="2E74B5"/>
            <w:u w:val="single"/>
            <w:rFonts w:ascii="Calibri" w:hAnsi="Calibri"/>
          </w:rPr>
          <w:t>The Khyber Pakhtunkhwa Promotion of Digital Payments Bill, 2026</w:t>
        </w:r>
      </w:hyperlink>
    </w:p>
    <w:p>
      <w:pPr>
        <w:pStyle w:val="Source"/>
      </w:pPr>
      <w:r>
        <w:rPr>
          <w:rFonts w:ascii="Calibri" w:hAnsi="Calibri"/>
          <w:b/>
          <w:i w:val="0"/>
          <w:color w:val="0B2545"/>
          <w:sz w:val="18"/>
        </w:rPr>
        <w:t xml:space="preserve">12. Express Tribune | 22 Aug 2026 | </w:t>
      </w:r>
      <w:hyperlink r:id="rId22">
        <w:r>
          <w:rPr>
            <w:color w:val="2E74B5"/>
            <w:u w:val="single"/>
            <w:rFonts w:ascii="Calibri" w:hAnsi="Calibri"/>
          </w:rPr>
          <w:t>K-P Assembly approves digital payments bill</w:t>
        </w:r>
      </w:hyperlink>
      <w:r>
        <w:rPr>
          <w:rFonts w:ascii="Calibri" w:hAnsi="Calibri"/>
          <w:b w:val="0"/>
          <w:i w:val="0"/>
          <w:color w:val="5B6571"/>
          <w:sz w:val="18"/>
        </w:rPr>
        <w:t>. Reports the 21 Aug Assembly event</w:t>
      </w:r>
    </w:p>
    <w:p>
      <w:pPr>
        <w:pStyle w:val="Source"/>
      </w:pPr>
      <w:r>
        <w:rPr>
          <w:rFonts w:ascii="Calibri" w:hAnsi="Calibri"/>
          <w:b/>
          <w:i w:val="0"/>
          <w:color w:val="0B2545"/>
          <w:sz w:val="18"/>
        </w:rPr>
        <w:t xml:space="preserve">13. Google | live directories; accessed 22 Aug 2026 | </w:t>
      </w:r>
      <w:hyperlink r:id="rId23">
        <w:r>
          <w:rPr>
            <w:color w:val="2E74B5"/>
            <w:u w:val="single"/>
            <w:rFonts w:ascii="Calibri" w:hAnsi="Calibri"/>
          </w:rPr>
          <w:t>Office locations</w:t>
        </w:r>
      </w:hyperlink>
      <w:r>
        <w:rPr>
          <w:rFonts w:ascii="Calibri" w:hAnsi="Calibri"/>
          <w:b w:val="0"/>
          <w:i w:val="0"/>
          <w:color w:val="5B6571"/>
          <w:sz w:val="18"/>
        </w:rPr>
        <w:t>. No Pakistan/Islamabad match</w:t>
      </w:r>
    </w:p>
    <w:p>
      <w:pPr>
        <w:pStyle w:val="Source"/>
      </w:pPr>
      <w:r>
        <w:rPr>
          <w:rFonts w:ascii="Calibri" w:hAnsi="Calibri"/>
          <w:b/>
          <w:i w:val="0"/>
          <w:color w:val="0B2545"/>
          <w:sz w:val="18"/>
        </w:rPr>
        <w:t xml:space="preserve">14. Google Careers | live directory; accessed 22 Aug 2026 | </w:t>
      </w:r>
      <w:hyperlink r:id="rId24">
        <w:r>
          <w:rPr>
            <w:color w:val="2E74B5"/>
            <w:u w:val="single"/>
            <w:rFonts w:ascii="Calibri" w:hAnsi="Calibri"/>
          </w:rPr>
          <w:t>Our locations</w:t>
        </w:r>
      </w:hyperlink>
      <w:r>
        <w:rPr>
          <w:rFonts w:ascii="Calibri" w:hAnsi="Calibri"/>
          <w:b w:val="0"/>
          <w:i w:val="0"/>
          <w:color w:val="5B6571"/>
          <w:sz w:val="18"/>
        </w:rPr>
        <w:t>. No Pakistan/Islamabad match</w:t>
      </w:r>
    </w:p>
    <w:p>
      <w:pPr>
        <w:pStyle w:val="Source"/>
      </w:pPr>
      <w:r>
        <w:rPr>
          <w:rFonts w:ascii="Calibri" w:hAnsi="Calibri"/>
          <w:b/>
          <w:i w:val="0"/>
          <w:color w:val="0B2545"/>
          <w:sz w:val="18"/>
        </w:rPr>
        <w:t xml:space="preserve">15. Google Cloud | live directory; accessed 22 Aug 2026 | </w:t>
      </w:r>
      <w:hyperlink r:id="rId25">
        <w:r>
          <w:rPr>
            <w:color w:val="2E74B5"/>
            <w:u w:val="single"/>
            <w:rFonts w:ascii="Calibri" w:hAnsi="Calibri"/>
          </w:rPr>
          <w:t>Global Locations</w:t>
        </w:r>
      </w:hyperlink>
      <w:r>
        <w:rPr>
          <w:rFonts w:ascii="Calibri" w:hAnsi="Calibri"/>
          <w:b w:val="0"/>
          <w:i w:val="0"/>
          <w:color w:val="5B6571"/>
          <w:sz w:val="18"/>
        </w:rPr>
        <w:t>. No Pakistan region listed</w:t>
      </w:r>
    </w:p>
    <w:p>
      <w:pPr>
        <w:pStyle w:val="Source"/>
      </w:pPr>
      <w:r>
        <w:rPr>
          <w:rFonts w:ascii="Calibri" w:hAnsi="Calibri"/>
          <w:b/>
          <w:i w:val="0"/>
          <w:color w:val="0B2545"/>
          <w:sz w:val="18"/>
        </w:rPr>
        <w:t xml:space="preserve">16. Google Data Centers | live directory; accessed 22 Aug 2026 | </w:t>
      </w:r>
      <w:hyperlink r:id="rId26">
        <w:r>
          <w:rPr>
            <w:color w:val="2E74B5"/>
            <w:u w:val="single"/>
            <w:rFonts w:ascii="Calibri" w:hAnsi="Calibri"/>
          </w:rPr>
          <w:t>Locations</w:t>
        </w:r>
      </w:hyperlink>
      <w:r>
        <w:rPr>
          <w:rFonts w:ascii="Calibri" w:hAnsi="Calibri"/>
          <w:b w:val="0"/>
          <w:i w:val="0"/>
          <w:color w:val="5B6571"/>
          <w:sz w:val="18"/>
        </w:rPr>
        <w:t>. No Pakistan facility listed</w:t>
      </w:r>
    </w:p>
    <w:sectPr w:rsidR="00FC693F" w:rsidRPr="0006063C" w:rsidSect="00034616">
      <w:headerReference w:type="default" r:id="rId9"/>
      <w:footerReference w:type="default" r:id="rId10"/>
      <w:pgSz w:w="12240" w:h="15840"/>
      <w:pgMar w:top="1440" w:right="1440" w:bottom="1181"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1"/>
        <w:sz w:val="17"/>
      </w:rPr>
      <w:t xml:space="preserve">22 AUGUST 2026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B6571"/>
        <w:sz w:val="17"/>
      </w:rPr>
      <w:t>PAKISTAN AI POLICY MONITOR  |  DAILY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multiLevelType w:val="singleLevel"/>
    <w:lvl w:ilvl="0">
      <w:start w:val="1"/>
      <w:numFmt w:val="bullet"/>
      <w:lvlText w:val="•"/>
      <w:lvlJc w:val="left"/>
      <w:pPr>
        <w:tabs>
          <w:tab w:val="num" w:pos="720"/>
        </w:tabs>
        <w:ind w:left="720" w:hanging="360"/>
        <w:spacing w:after="160" w:line="280" w:lineRule="auto"/>
      </w:pPr>
    </w:lvl>
  </w:abstract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6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nitorBullet">
    <w:name w:val="Monitor Bullet"/>
    <w:basedOn w:val="Normal"/>
    <w:pPr>
      <w:tabs>
        <w:tab w:pos="720" w:val="left"/>
      </w:tabs>
      <w:spacing w:after="160" w:line="280" w:lineRule="auto"/>
      <w:ind w:left="720" w:hanging="360"/>
    </w:pPr>
    <w:rPr>
      <w:rFonts w:ascii="Calibri" w:hAnsi="Calibri"/>
      <w:sz w:val="22"/>
    </w:rPr>
  </w:style>
  <w:style w:type="paragraph" w:customStyle="1" w:styleId="ItemLead">
    <w:name w:val="Item Lead"/>
    <w:basedOn w:val="Normal"/>
    <w:pPr>
      <w:keepNext/>
      <w:spacing w:before="160" w:after="60"/>
    </w:pPr>
  </w:style>
  <w:style w:type="paragraph" w:customStyle="1" w:styleId="ItemDetail">
    <w:name w:val="Item Detail"/>
    <w:basedOn w:val="Normal"/>
    <w:pPr>
      <w:spacing w:after="50" w:line="252" w:lineRule="auto"/>
      <w:ind w:left="259"/>
    </w:pPr>
  </w:style>
  <w:style w:type="paragraph" w:customStyle="1" w:styleId="Source">
    <w:name w:val="Source"/>
    <w:basedOn w:val="Normal"/>
    <w:pPr>
      <w:spacing w:after="100" w:line="240" w:lineRule="auto"/>
      <w:ind w:left="288" w:hanging="288"/>
    </w:pPr>
  </w:style>
  <w:style w:type="paragraph" w:customStyle="1" w:styleId="Kicker">
    <w:name w:val="Kicker"/>
    <w:basedOn w:val="Normal"/>
    <w:pPr>
      <w:spacing w:after="100"/>
    </w:pPr>
    <w:rPr>
      <w:b/>
      <w:color w:val="2E74B5"/>
      <w:sz w:val="18"/>
    </w:rPr>
  </w:style>
  <w:style w:type="paragraph" w:customStyle="1" w:styleId="Callout">
    <w:name w:val="Callout"/>
    <w:basedOn w:val="Normal"/>
    <w:pPr>
      <w:spacing w:before="120" w:after="200"/>
      <w:ind w:left="216" w:right="21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oitt.gov.pk/Policies" TargetMode="External"/><Relationship Id="rId12" Type="http://schemas.openxmlformats.org/officeDocument/2006/relationships/hyperlink" Target="https://www.pda.gov.pk/press-release.php" TargetMode="External"/><Relationship Id="rId13" Type="http://schemas.openxmlformats.org/officeDocument/2006/relationships/hyperlink" Target="https://www.pda.gov.pk/press-details.php?id=data-governance-policy" TargetMode="External"/><Relationship Id="rId14" Type="http://schemas.openxmlformats.org/officeDocument/2006/relationships/hyperlink" Target="https://pkcert.gov.pk/advisories.asp" TargetMode="External"/><Relationship Id="rId15" Type="http://schemas.openxmlformats.org/officeDocument/2006/relationships/hyperlink" Target="https://pvara.gov.pk/regulations" TargetMode="External"/><Relationship Id="rId16" Type="http://schemas.openxmlformats.org/officeDocument/2006/relationships/hyperlink" Target="https://pvara.gov.pk/licensing" TargetMode="External"/><Relationship Id="rId17" Type="http://schemas.openxmlformats.org/officeDocument/2006/relationships/hyperlink" Target="https://pid.gov.pk/site/press" TargetMode="External"/><Relationship Id="rId18" Type="http://schemas.openxmlformats.org/officeDocument/2006/relationships/hyperlink" Target="https://epms.ppra.gov.pk/public/tenders/active-tenders?page=1" TargetMode="External"/><Relationship Id="rId19" Type="http://schemas.openxmlformats.org/officeDocument/2006/relationships/hyperlink" Target="https://epms.ppra.gov.pk/public/evaluations?page=1" TargetMode="External"/><Relationship Id="rId20" Type="http://schemas.openxmlformats.org/officeDocument/2006/relationships/hyperlink" Target="https://epms.ppra.gov.pk/public/contracts?page=1" TargetMode="External"/><Relationship Id="rId21" Type="http://schemas.openxmlformats.org/officeDocument/2006/relationships/hyperlink" Target="https://www.pakp.gov.pk/bill/the-khyber-pakhtunkhwa-promotion-of-digital-payments-bill-2026/" TargetMode="External"/><Relationship Id="rId22" Type="http://schemas.openxmlformats.org/officeDocument/2006/relationships/hyperlink" Target="https://tribune.com.pk/story/2625229/k-p-assembly-approves-digital-payments-bill" TargetMode="External"/><Relationship Id="rId23" Type="http://schemas.openxmlformats.org/officeDocument/2006/relationships/hyperlink" Target="https://about.google/company-info/locations/" TargetMode="External"/><Relationship Id="rId24" Type="http://schemas.openxmlformats.org/officeDocument/2006/relationships/hyperlink" Target="https://www.google.com/about/careers/applications/locations/" TargetMode="External"/><Relationship Id="rId25" Type="http://schemas.openxmlformats.org/officeDocument/2006/relationships/hyperlink" Target="https://cloud.google.com/about/locations" TargetMode="External"/><Relationship Id="rId26" Type="http://schemas.openxmlformats.org/officeDocument/2006/relationships/hyperlink" Target="https://datacenters.google/lo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AI Policy &amp; Infrastructure Daily Brief — 22 August 2026</dc:title>
  <dc:subject>Strict post-cutoff monitoring brief</dc:subject>
  <dc:creator>Pakistan AI Policy Monitor</dc:creator>
  <cp:keywords>Pakistan, AI policy, data governance, cybersecurity, cloud, data centers, digital infrastructure</cp:keywords>
  <dc:description>generated by python-docx</dc:description>
  <cp:lastModifiedBy/>
  <cp:revision>1</cp:revision>
  <dcterms:created xsi:type="dcterms:W3CDTF">2013-12-23T23:15:00Z</dcterms:created>
  <dcterms:modified xsi:type="dcterms:W3CDTF">2013-12-23T23:15:00Z</dcterms:modified>
  <cp:category/>
</cp:coreProperties>
</file>