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40"/>
      </w:pPr>
      <w:r>
        <w:t>Pakistan AI Policy &amp; Infrastructure Daily Brief</w:t>
      </w:r>
    </w:p>
    <w:p>
      <w:pPr>
        <w:pStyle w:val="Subtitle"/>
      </w:pPr>
      <w:r>
        <w:t>23 August 2026 | Coverage cutoff: approximately 15:10 UTC / 20:10 PKT</w:t>
      </w:r>
    </w:p>
    <w:p>
      <w:pPr>
        <w:spacing w:before="0" w:after="40"/>
      </w:pPr>
      <w:r>
        <w:rPr>
          <w:rFonts w:ascii="Calibri" w:hAnsi="Calibri"/>
          <w:b/>
          <w:color w:val="173B57"/>
        </w:rPr>
        <w:t xml:space="preserve">Previous cutoff: </w:t>
      </w:r>
      <w:r>
        <w:rPr>
          <w:rFonts w:ascii="Calibri" w:hAnsi="Calibri"/>
          <w:color w:val="1F2933"/>
        </w:rPr>
        <w:t>14:58 UTC / 19:58 PKT on 23 August 2026</w:t>
      </w:r>
    </w:p>
    <w:p>
      <w:pPr>
        <w:spacing w:before="0" w:after="40"/>
      </w:pPr>
      <w:r>
        <w:rPr>
          <w:rFonts w:ascii="Calibri" w:hAnsi="Calibri"/>
          <w:b/>
          <w:color w:val="173B57"/>
        </w:rPr>
        <w:t xml:space="preserve">Research window: </w:t>
      </w:r>
      <w:r>
        <w:rPr>
          <w:rFonts w:ascii="Calibri" w:hAnsi="Calibri"/>
          <w:color w:val="1F2933"/>
        </w:rPr>
        <w:t>Approximately 12 minutes, Sunday evening in Pakistan</w:t>
      </w:r>
    </w:p>
    <w:p>
      <w:pPr>
        <w:spacing w:before="0" w:after="40"/>
      </w:pPr>
      <w:r>
        <w:rPr>
          <w:rFonts w:ascii="Calibri" w:hAnsi="Calibri"/>
          <w:b/>
          <w:color w:val="173B57"/>
        </w:rPr>
        <w:t xml:space="preserve">Bottom line: </w:t>
      </w:r>
      <w:r>
        <w:rPr>
          <w:rFonts w:ascii="Calibri" w:hAnsi="Calibri"/>
          <w:color w:val="1F2933"/>
        </w:rPr>
        <w:t>No material, independently timestamp-verifiable scoped development was found.</w:t>
      </w:r>
    </w:p>
    <w:p>
      <w:pPr>
        <w:spacing w:before="0" w:after="40"/>
      </w:pPr>
      <w:r>
        <w:rPr>
          <w:rFonts w:ascii="Calibri" w:hAnsi="Calibri"/>
          <w:b/>
          <w:color w:val="173B57"/>
        </w:rPr>
        <w:t xml:space="preserve">Overall confidence: </w:t>
      </w:r>
      <w:r>
        <w:rPr>
          <w:rFonts w:ascii="Calibri" w:hAnsi="Calibri"/>
          <w:color w:val="1F2933"/>
        </w:rPr>
        <w:t>Medium for exhaustive absence; high or medium-high for the specific live-register states reported below.</w:t>
      </w:r>
    </w:p>
    <w:p>
      <w:pPr>
        <w:spacing w:before="180" w:after="200"/>
        <w:ind w:left="259" w:right="259"/>
        <w:shd w:fill="EAF3F3"/>
      </w:pPr>
      <w:r>
        <w:rPr>
          <w:rFonts w:ascii="Calibri" w:hAnsi="Calibri"/>
          <w:b/>
          <w:color w:val="147D7E"/>
        </w:rPr>
        <w:t xml:space="preserve">Reader note. </w:t>
      </w:r>
      <w:r>
        <w:rPr>
          <w:rFonts w:ascii="Calibri" w:hAnsi="Calibri"/>
          <w:color w:val="1F2933"/>
        </w:rPr>
        <w:t>This is a strict delta report. Existing policies and announced projects are included only as implementation baselines; they are not presented as new events. Several official registers provide date-only metadata, so late publication remains possible.</w:t>
      </w:r>
    </w:p>
    <w:p>
      <w:pPr>
        <w:pStyle w:val="Heading1"/>
      </w:pPr>
      <w:r>
        <w:t>1. Executive summary</w:t>
      </w:r>
    </w:p>
    <w:p>
      <w:pPr>
        <w:pStyle w:val="ListBullet"/>
      </w:pPr>
      <w:r>
        <w:t>No post-cutoff AI law, strategy approval, data-protection instrument, cybersecurity direction, telecom/platform rule, or parliamentary action was verified.</w:t>
      </w:r>
    </w:p>
    <w:p>
      <w:pPr>
        <w:pStyle w:val="ListBullet"/>
      </w:pPr>
      <w:r>
        <w:t>The National AI Policy remains approved (31 July 2025). The Data Governance Policy 2026 remains draft/finalisation-stage; no authenticated final text, Gazette notice, commencement, or comprehensive personal-data-protection enactment surfaced.</w:t>
      </w:r>
    </w:p>
    <w:p>
      <w:pPr>
        <w:pStyle w:val="ListBullet"/>
      </w:pPr>
      <w:r>
        <w:t>Federal PPRA active/recent tenders increased from 1,759 to 1,760, but the added top-listed entry is an out-of-scope TDAP civil-works prequalification. Evaluations remained 2,705 and contracts 536.</w:t>
      </w:r>
    </w:p>
    <w:p>
      <w:pPr>
        <w:pStyle w:val="ListBullet"/>
      </w:pPr>
      <w:r>
        <w:t>AI and cloud procurements remain pre-award: PITB Government AI Cloud closes 24 August; NAAI hardware 25 August; PTA AI-powered DIRBS 27 August; National AI Hubs and PITB GPU servers 31 August; Ignite sovereign AI infrastructure 21 September.</w:t>
      </w:r>
    </w:p>
    <w:p>
      <w:pPr>
        <w:pStyle w:val="ListBullet"/>
      </w:pPr>
      <w:r>
        <w:t>No new evidence established a Google Pakistan street address, employing entity, headcount, Cloud region, owned data centre, local hosting, or realised investment. Government inauguration and MoU statements remain earlier announcements, not proof of those operational details.</w:t>
      </w:r>
    </w:p>
    <w:p>
      <w:r>
        <w:br w:type="page"/>
      </w:r>
    </w:p>
    <w:p>
      <w:pPr>
        <w:pStyle w:val="Heading1"/>
        <w:spacing w:before="720"/>
      </w:pPr>
      <w:r>
        <w:t>2. Policy, regulation, and governance</w:t>
      </w:r>
    </w:p>
    <w:p>
      <w:pPr>
        <w:keepNext/>
        <w:spacing w:before="100" w:after="40"/>
      </w:pPr>
      <w:r>
        <w:rPr>
          <w:rFonts w:ascii="Calibri" w:hAnsi="Calibri"/>
          <w:b/>
          <w:color w:val="173B57"/>
          <w:sz w:val="23"/>
        </w:rPr>
        <w:t>No new AI-law or strategy milestone</w:t>
      </w:r>
    </w:p>
    <w:p>
      <w:pPr>
        <w:keepLines/>
        <w:spacing w:before="0" w:after="80"/>
      </w:pPr>
      <w:r>
        <w:rPr>
          <w:rFonts w:ascii="Calibri" w:hAnsi="Calibri"/>
          <w:b/>
          <w:color w:val="173B57"/>
        </w:rPr>
        <w:t xml:space="preserve">Status: </w:t>
      </w:r>
      <w:r>
        <w:rPr>
          <w:rFonts w:ascii="Calibri" w:hAnsi="Calibri"/>
          <w:color w:val="1F2933"/>
        </w:rPr>
        <w:t>No change; National AI Policy remains approved, while related implementation measures remain under monitoring.</w:t>
      </w:r>
    </w:p>
    <w:p>
      <w:pPr>
        <w:keepLines/>
        <w:spacing w:before="0" w:after="80"/>
      </w:pPr>
      <w:r>
        <w:rPr>
          <w:rFonts w:ascii="Calibri" w:hAnsi="Calibri"/>
          <w:b/>
          <w:color w:val="173B57"/>
        </w:rPr>
        <w:t xml:space="preserve">Institution/location: </w:t>
      </w:r>
      <w:r>
        <w:rPr>
          <w:rFonts w:ascii="Calibri" w:hAnsi="Calibri"/>
          <w:color w:val="1F2933"/>
        </w:rPr>
        <w:t>Ministry of IT &amp; Telecommunication (MoITT), federal Cabinet and Parliament, Islamabad.</w:t>
      </w:r>
    </w:p>
    <w:p>
      <w:pPr>
        <w:keepLines/>
        <w:spacing w:before="0" w:after="80"/>
      </w:pPr>
      <w:r>
        <w:rPr>
          <w:rFonts w:ascii="Calibri" w:hAnsi="Calibri"/>
          <w:b/>
          <w:color w:val="173B57"/>
        </w:rPr>
        <w:t xml:space="preserve">Evidence: </w:t>
      </w:r>
      <w:r>
        <w:rPr>
          <w:rFonts w:ascii="Calibri" w:hAnsi="Calibri"/>
          <w:color w:val="1F2933"/>
        </w:rPr>
        <w:t>MoITT’s live policies register still lists the National Artificial Intelligence Policy as approved on 31 July 2025 and shows no post-cutoff AI policy entry. National Assembly and Senate surfaces showed no completed in-window action.</w:t>
      </w:r>
    </w:p>
    <w:p>
      <w:pPr>
        <w:keepLines/>
        <w:spacing w:before="0" w:after="80"/>
      </w:pPr>
      <w:r>
        <w:rPr>
          <w:rFonts w:ascii="Calibri" w:hAnsi="Calibri"/>
          <w:b/>
          <w:color w:val="173B57"/>
        </w:rPr>
        <w:t xml:space="preserve">What changed: </w:t>
      </w:r>
      <w:r>
        <w:rPr>
          <w:rFonts w:ascii="Calibri" w:hAnsi="Calibri"/>
          <w:color w:val="1F2933"/>
        </w:rPr>
        <w:t>Nothing material since the prior cutoff. The National Assembly’s next sitting remains scheduled for 24 August at 17:00 PKT; the Senate also resumes on 24 August.</w:t>
      </w:r>
    </w:p>
    <w:p>
      <w:pPr>
        <w:keepLines/>
        <w:spacing w:before="0" w:after="80"/>
      </w:pPr>
      <w:r>
        <w:rPr>
          <w:rFonts w:ascii="Calibri" w:hAnsi="Calibri"/>
          <w:b/>
          <w:color w:val="173B57"/>
        </w:rPr>
        <w:t xml:space="preserve">Why it matters: </w:t>
      </w:r>
      <w:r>
        <w:rPr>
          <w:rFonts w:ascii="Calibri" w:hAnsi="Calibri"/>
          <w:color w:val="1F2933"/>
        </w:rPr>
        <w:t>Implementation, funding, oversight, safety controls and institutional accountability remain the decision-relevant questions; an approved policy is not evidence that targets have been delivered.</w:t>
      </w:r>
    </w:p>
    <w:p>
      <w:pPr>
        <w:keepLines/>
        <w:spacing w:before="0" w:after="140"/>
      </w:pPr>
      <w:r>
        <w:rPr>
          <w:rFonts w:ascii="Calibri" w:hAnsi="Calibri"/>
          <w:b/>
          <w:color w:val="173B57"/>
        </w:rPr>
        <w:t xml:space="preserve">Confidence: </w:t>
      </w:r>
      <w:r>
        <w:rPr>
          <w:rFonts w:ascii="Calibri" w:hAnsi="Calibri"/>
          <w:color w:val="1F2933"/>
        </w:rPr>
        <w:t>High for the observed MoITT register state; medium for exhaustive absence because parliamentary and Gazette publication can lag.</w:t>
      </w:r>
    </w:p>
    <w:p>
      <w:r>
        <w:br w:type="page"/>
      </w:r>
    </w:p>
    <w:p>
      <w:pPr>
        <w:pStyle w:val="Heading1"/>
        <w:spacing w:before="720"/>
      </w:pPr>
      <w:r>
        <w:t>3. Data regulation, digital policy, and cybersecurity</w:t>
      </w:r>
    </w:p>
    <w:p>
      <w:pPr>
        <w:keepNext/>
        <w:spacing w:before="100" w:after="40"/>
      </w:pPr>
      <w:r>
        <w:rPr>
          <w:rFonts w:ascii="Calibri" w:hAnsi="Calibri"/>
          <w:b/>
          <w:color w:val="173B57"/>
          <w:sz w:val="23"/>
        </w:rPr>
        <w:t>Data Governance Policy remains draft/finalisation-stage</w:t>
      </w:r>
    </w:p>
    <w:p>
      <w:pPr>
        <w:keepLines/>
        <w:spacing w:before="0" w:after="80"/>
      </w:pPr>
      <w:r>
        <w:rPr>
          <w:rFonts w:ascii="Calibri" w:hAnsi="Calibri"/>
          <w:b/>
          <w:color w:val="173B57"/>
        </w:rPr>
        <w:t xml:space="preserve">Status: </w:t>
      </w:r>
      <w:r>
        <w:rPr>
          <w:rFonts w:ascii="Calibri" w:hAnsi="Calibri"/>
          <w:color w:val="1F2933"/>
        </w:rPr>
        <w:t>Proposed/draft; not verified as approved, enacted or in force.</w:t>
      </w:r>
    </w:p>
    <w:p>
      <w:pPr>
        <w:keepLines/>
        <w:spacing w:before="0" w:after="80"/>
      </w:pPr>
      <w:r>
        <w:rPr>
          <w:rFonts w:ascii="Calibri" w:hAnsi="Calibri"/>
          <w:b/>
          <w:color w:val="173B57"/>
        </w:rPr>
        <w:t xml:space="preserve">Institution/location: </w:t>
      </w:r>
      <w:r>
        <w:rPr>
          <w:rFonts w:ascii="Calibri" w:hAnsi="Calibri"/>
          <w:color w:val="1F2933"/>
        </w:rPr>
        <w:t>MoITT and Pakistan Digital Authority (PDA), Islamabad.</w:t>
      </w:r>
    </w:p>
    <w:p>
      <w:pPr>
        <w:keepLines/>
        <w:spacing w:before="0" w:after="80"/>
      </w:pPr>
      <w:r>
        <w:rPr>
          <w:rFonts w:ascii="Calibri" w:hAnsi="Calibri"/>
          <w:b/>
          <w:color w:val="173B57"/>
        </w:rPr>
        <w:t xml:space="preserve">Evidence: </w:t>
      </w:r>
      <w:r>
        <w:rPr>
          <w:rFonts w:ascii="Calibri" w:hAnsi="Calibri"/>
          <w:color w:val="1F2933"/>
        </w:rPr>
        <w:t>MoITT continues to label Data Governance Policy 2026 “Draft” with date 26 June 2026. PDA said on 5 August that consultations concluded and feedback would be incorporated before finalisation.</w:t>
      </w:r>
    </w:p>
    <w:p>
      <w:pPr>
        <w:keepLines/>
        <w:spacing w:before="0" w:after="80"/>
      </w:pPr>
      <w:r>
        <w:rPr>
          <w:rFonts w:ascii="Calibri" w:hAnsi="Calibri"/>
          <w:b/>
          <w:color w:val="173B57"/>
        </w:rPr>
        <w:t xml:space="preserve">What changed: </w:t>
      </w:r>
      <w:r>
        <w:rPr>
          <w:rFonts w:ascii="Calibri" w:hAnsi="Calibri"/>
          <w:color w:val="1F2933"/>
        </w:rPr>
        <w:t>No authenticated final text, Cabinet approval, Gazette publication, commencement notice, regulator direction or transition timetable appeared after the cutoff.</w:t>
      </w:r>
    </w:p>
    <w:p>
      <w:pPr>
        <w:keepLines/>
        <w:spacing w:before="0" w:after="80"/>
      </w:pPr>
      <w:r>
        <w:rPr>
          <w:rFonts w:ascii="Calibri" w:hAnsi="Calibri"/>
          <w:b/>
          <w:color w:val="173B57"/>
        </w:rPr>
        <w:t xml:space="preserve">Why it matters: </w:t>
      </w:r>
      <w:r>
        <w:rPr>
          <w:rFonts w:ascii="Calibri" w:hAnsi="Calibri"/>
          <w:color w:val="1F2933"/>
        </w:rPr>
        <w:t>Companies and public bodies still lack a verified new generally applicable rule from this policy on data sharing, classification, transfers, localisation, consent, retention, breach notification, children’s data, automated decisions or enforcement. Existing sectoral duties continue to govern.</w:t>
      </w:r>
    </w:p>
    <w:p>
      <w:pPr>
        <w:keepLines/>
        <w:spacing w:before="0" w:after="140"/>
      </w:pPr>
      <w:r>
        <w:rPr>
          <w:rFonts w:ascii="Calibri" w:hAnsi="Calibri"/>
          <w:b/>
          <w:color w:val="173B57"/>
        </w:rPr>
        <w:t xml:space="preserve">Confidence: </w:t>
      </w:r>
      <w:r>
        <w:rPr>
          <w:rFonts w:ascii="Calibri" w:hAnsi="Calibri"/>
          <w:color w:val="1F2933"/>
        </w:rPr>
        <w:t>High for draft status; medium for the conclusion that no later instrument exists because official indexing can lag.</w:t>
      </w:r>
    </w:p>
    <w:p>
      <w:pPr>
        <w:keepNext/>
        <w:spacing w:before="100" w:after="40"/>
      </w:pPr>
      <w:r>
        <w:rPr>
          <w:rFonts w:ascii="Calibri" w:hAnsi="Calibri"/>
          <w:b/>
          <w:color w:val="173B57"/>
          <w:sz w:val="23"/>
        </w:rPr>
        <w:t>No new cyber or digital-policy direction</w:t>
      </w:r>
    </w:p>
    <w:p>
      <w:pPr>
        <w:keepLines/>
        <w:spacing w:before="0" w:after="80"/>
      </w:pPr>
      <w:r>
        <w:rPr>
          <w:rFonts w:ascii="Calibri" w:hAnsi="Calibri"/>
          <w:b/>
          <w:color w:val="173B57"/>
        </w:rPr>
        <w:t xml:space="preserve">Status: </w:t>
      </w:r>
      <w:r>
        <w:rPr>
          <w:rFonts w:ascii="Calibri" w:hAnsi="Calibri"/>
          <w:color w:val="1F2933"/>
        </w:rPr>
        <w:t>No change; PKCERT advisory index remains capped at Advisory 15.</w:t>
      </w:r>
    </w:p>
    <w:p>
      <w:pPr>
        <w:keepLines/>
        <w:spacing w:before="0" w:after="80"/>
      </w:pPr>
      <w:r>
        <w:rPr>
          <w:rFonts w:ascii="Calibri" w:hAnsi="Calibri"/>
          <w:b/>
          <w:color w:val="173B57"/>
        </w:rPr>
        <w:t xml:space="preserve">Institution/location: </w:t>
      </w:r>
      <w:r>
        <w:rPr>
          <w:rFonts w:ascii="Calibri" w:hAnsi="Calibri"/>
          <w:color w:val="1F2933"/>
        </w:rPr>
        <w:t>National Cyber Emergency Response Team (PKCERT), MoITT, PTA and relevant federal regulators.</w:t>
      </w:r>
    </w:p>
    <w:p>
      <w:pPr>
        <w:keepLines/>
        <w:spacing w:before="0" w:after="80"/>
      </w:pPr>
      <w:r>
        <w:rPr>
          <w:rFonts w:ascii="Calibri" w:hAnsi="Calibri"/>
          <w:b/>
          <w:color w:val="173B57"/>
        </w:rPr>
        <w:t xml:space="preserve">Evidence: </w:t>
      </w:r>
      <w:r>
        <w:rPr>
          <w:rFonts w:ascii="Calibri" w:hAnsi="Calibri"/>
          <w:color w:val="1F2933"/>
        </w:rPr>
        <w:t>The live PKCERT 2026 index showed no Advisory 16. No post-cutoff PTA, Cabinet, parliamentary or regulator instrument was verified. PVARA’s latest displayed sectoral instruments remain the two S.R.O.s notified on 21 August 2026.</w:t>
      </w:r>
    </w:p>
    <w:p>
      <w:pPr>
        <w:keepLines/>
        <w:spacing w:before="0" w:after="80"/>
      </w:pPr>
      <w:r>
        <w:rPr>
          <w:rFonts w:ascii="Calibri" w:hAnsi="Calibri"/>
          <w:b/>
          <w:color w:val="173B57"/>
        </w:rPr>
        <w:t xml:space="preserve">What changed: </w:t>
      </w:r>
      <w:r>
        <w:rPr>
          <w:rFonts w:ascii="Calibri" w:hAnsi="Calibri"/>
          <w:color w:val="1F2933"/>
        </w:rPr>
        <w:t>No new binding cybersecurity, platform, telecom, identity, transfer/localisation or virtual-asset data-security obligation was identified in the interval.</w:t>
      </w:r>
    </w:p>
    <w:p>
      <w:pPr>
        <w:keepLines/>
        <w:spacing w:before="0" w:after="80"/>
      </w:pPr>
      <w:r>
        <w:rPr>
          <w:rFonts w:ascii="Calibri" w:hAnsi="Calibri"/>
          <w:b/>
          <w:color w:val="173B57"/>
        </w:rPr>
        <w:t xml:space="preserve">Why it matters: </w:t>
      </w:r>
      <w:r>
        <w:rPr>
          <w:rFonts w:ascii="Calibri" w:hAnsi="Calibri"/>
          <w:color w:val="1F2933"/>
        </w:rPr>
        <w:t>Operational cyber risk remains live, but the legal baseline did not move. Firms should not infer a new duty from policy announcements or advisory-page changes alone.</w:t>
      </w:r>
    </w:p>
    <w:p>
      <w:pPr>
        <w:keepLines/>
        <w:spacing w:before="0" w:after="140"/>
      </w:pPr>
      <w:r>
        <w:rPr>
          <w:rFonts w:ascii="Calibri" w:hAnsi="Calibri"/>
          <w:b/>
          <w:color w:val="173B57"/>
        </w:rPr>
        <w:t xml:space="preserve">Confidence: </w:t>
      </w:r>
      <w:r>
        <w:rPr>
          <w:rFonts w:ascii="Calibri" w:hAnsi="Calibri"/>
          <w:color w:val="1F2933"/>
        </w:rPr>
        <w:t>High for inspected registers; medium for exhaustive absence.</w:t>
      </w:r>
    </w:p>
    <w:p>
      <w:pPr>
        <w:pStyle w:val="Heading1"/>
      </w:pPr>
      <w:r>
        <w:t>4. Google in Pakistan</w:t>
      </w:r>
    </w:p>
    <w:p>
      <w:r>
        <w:rPr>
          <w:b/>
        </w:rPr>
        <w:t xml:space="preserve">No meaningful post-cutoff update. </w:t>
      </w:r>
      <w:r>
        <w:t>Government sources continue to describe an 18 August inauguration/local-presence event and a 21 August framework MoU. Google’s canonical office-address directory still has no Pakistan listing; its Pakistan country page provides a contact email but no street address. Google Cloud region and owned-data-centre directories also list no Pakistan location. Accordingly, the evidence does not support calling a Pakistan Cloud region, data centre, engineering/R&amp;D site, staffed operational office, local-hosting commitment or realised investment verified. Confidence: medium-high for the canonical directory checks; medium for the unresolved operational picture.</w:t>
      </w:r>
    </w:p>
    <w:p>
      <w:pPr>
        <w:keepLines/>
      </w:pPr>
      <w:r>
        <w:rPr>
          <w:rFonts w:ascii="Calibri" w:hAnsi="Calibri"/>
          <w:b/>
          <w:color w:val="147D7E"/>
        </w:rPr>
        <w:t xml:space="preserve">Regulatory significance. </w:t>
      </w:r>
      <w:r>
        <w:rPr>
          <w:rFonts w:ascii="Calibri" w:hAnsi="Calibri"/>
          <w:color w:val="1F2933"/>
        </w:rPr>
        <w:t>A government-described local presence does not by itself establish incorporation, tax or invoicing treatment, data localisation, altered cross-border-transfer rules, local storage of public-sector data, or a cloud-service accreditation. Those consequences depend on the legal entity, contracts, data flows and applicable Pakistani rules, none of which changed in the observed window.</w:t>
      </w:r>
    </w:p>
    <w:p>
      <w:pPr>
        <w:pStyle w:val="Heading1"/>
      </w:pPr>
      <w:r>
        <w:t>5. AI and digital infrastructure</w:t>
      </w:r>
    </w:p>
    <w:p>
      <w:pPr>
        <w:keepNext/>
        <w:spacing w:before="100" w:after="40"/>
      </w:pPr>
      <w:r>
        <w:rPr>
          <w:rFonts w:ascii="Calibri" w:hAnsi="Calibri"/>
          <w:b/>
          <w:color w:val="173B57"/>
          <w:sz w:val="23"/>
        </w:rPr>
        <w:t>No compute, cloud, data-centre, connectivity or energy milestone</w:t>
      </w:r>
    </w:p>
    <w:p>
      <w:pPr>
        <w:keepLines/>
        <w:spacing w:before="0" w:after="80"/>
      </w:pPr>
      <w:r>
        <w:rPr>
          <w:rFonts w:ascii="Calibri" w:hAnsi="Calibri"/>
          <w:b/>
          <w:color w:val="173B57"/>
        </w:rPr>
        <w:t xml:space="preserve">Status: </w:t>
      </w:r>
      <w:r>
        <w:rPr>
          <w:rFonts w:ascii="Calibri" w:hAnsi="Calibri"/>
          <w:color w:val="1F2933"/>
        </w:rPr>
        <w:t>Announced/tendered baselines remain; no new contract, delivery or commissioning evidence.</w:t>
      </w:r>
    </w:p>
    <w:p>
      <w:pPr>
        <w:keepLines/>
        <w:spacing w:before="0" w:after="80"/>
      </w:pPr>
      <w:r>
        <w:rPr>
          <w:rFonts w:ascii="Calibri" w:hAnsi="Calibri"/>
          <w:b/>
          <w:color w:val="173B57"/>
        </w:rPr>
        <w:t xml:space="preserve">Institution/location: </w:t>
      </w:r>
      <w:r>
        <w:rPr>
          <w:rFonts w:ascii="Calibri" w:hAnsi="Calibri"/>
          <w:color w:val="1F2933"/>
        </w:rPr>
        <w:t>Federal MoITT/Ignite/PTA/NTC; Punjab PITB; monitored private and provincial projects.</w:t>
      </w:r>
    </w:p>
    <w:p>
      <w:pPr>
        <w:keepLines/>
        <w:spacing w:before="0" w:after="80"/>
      </w:pPr>
      <w:r>
        <w:rPr>
          <w:rFonts w:ascii="Calibri" w:hAnsi="Calibri"/>
          <w:b/>
          <w:color w:val="173B57"/>
        </w:rPr>
        <w:t xml:space="preserve">Evidence: </w:t>
      </w:r>
      <w:r>
        <w:rPr>
          <w:rFonts w:ascii="Calibri" w:hAnsi="Calibri"/>
          <w:color w:val="1F2933"/>
        </w:rPr>
        <w:t>Live procurement and institutional registers showed no scoped evaluation, award or contract. Google’s Cloud and owned-data-centre directories remained unchanged. The NTC Peshawar battery tender still displays conflicting deadline information: main fields say 10 September while corrigendum history says 25 August.</w:t>
      </w:r>
    </w:p>
    <w:p>
      <w:pPr>
        <w:keepLines/>
        <w:spacing w:before="0" w:after="80"/>
      </w:pPr>
      <w:r>
        <w:rPr>
          <w:rFonts w:ascii="Calibri" w:hAnsi="Calibri"/>
          <w:b/>
          <w:color w:val="173B57"/>
        </w:rPr>
        <w:t xml:space="preserve">What changed: </w:t>
      </w:r>
      <w:r>
        <w:rPr>
          <w:rFonts w:ascii="Calibri" w:hAnsi="Calibri"/>
          <w:color w:val="1F2933"/>
        </w:rPr>
        <w:t>No post-cutoff GPU/rack capacity, site, sanctioned grid load, PPA/tariff, backup-power runtime, cooling design, fibre activation, service availability or utilisation figure was verified.</w:t>
      </w:r>
    </w:p>
    <w:p>
      <w:pPr>
        <w:keepLines/>
        <w:spacing w:before="0" w:after="80"/>
      </w:pPr>
      <w:r>
        <w:rPr>
          <w:rFonts w:ascii="Calibri" w:hAnsi="Calibri"/>
          <w:b/>
          <w:color w:val="173B57"/>
        </w:rPr>
        <w:t xml:space="preserve">Why it matters: </w:t>
      </w:r>
      <w:r>
        <w:rPr>
          <w:rFonts w:ascii="Calibri" w:hAnsi="Calibri"/>
          <w:color w:val="1F2933"/>
        </w:rPr>
        <w:t>The core infrastructure question remains execution: tender publication does not establish capacity, resiliency, data residency or energy readiness.</w:t>
      </w:r>
    </w:p>
    <w:p>
      <w:pPr>
        <w:keepLines/>
        <w:spacing w:before="0" w:after="140"/>
      </w:pPr>
      <w:r>
        <w:rPr>
          <w:rFonts w:ascii="Calibri" w:hAnsi="Calibri"/>
          <w:b/>
          <w:color w:val="173B57"/>
        </w:rPr>
        <w:t xml:space="preserve">Confidence: </w:t>
      </w:r>
      <w:r>
        <w:rPr>
          <w:rFonts w:ascii="Calibri" w:hAnsi="Calibri"/>
          <w:color w:val="1F2933"/>
        </w:rPr>
        <w:t>Medium-high for inspected registers; medium for exhaustive absence and unresolved NTC metadata conflict.</w:t>
      </w:r>
    </w:p>
    <w:p>
      <w:r>
        <w:br w:type="page"/>
      </w:r>
    </w:p>
    <w:p>
      <w:pPr>
        <w:pStyle w:val="Heading1"/>
        <w:spacing w:before="720"/>
      </w:pPr>
      <w:r>
        <w:t>6. Programs, funding, and investment</w:t>
      </w:r>
    </w:p>
    <w:p>
      <w:pPr>
        <w:keepNext/>
        <w:spacing w:before="100" w:after="40"/>
      </w:pPr>
      <w:r>
        <w:rPr>
          <w:rFonts w:ascii="Calibri" w:hAnsi="Calibri"/>
          <w:b/>
          <w:color w:val="173B57"/>
          <w:sz w:val="23"/>
        </w:rPr>
        <w:t>Procurement pipeline unchanged; no scoped award or realised investment</w:t>
      </w:r>
    </w:p>
    <w:p>
      <w:pPr>
        <w:keepLines/>
        <w:spacing w:before="0" w:after="80"/>
      </w:pPr>
      <w:r>
        <w:rPr>
          <w:rFonts w:ascii="Calibri" w:hAnsi="Calibri"/>
          <w:b/>
          <w:color w:val="173B57"/>
        </w:rPr>
        <w:t xml:space="preserve">Status: </w:t>
      </w:r>
      <w:r>
        <w:rPr>
          <w:rFonts w:ascii="Calibri" w:hAnsi="Calibri"/>
          <w:color w:val="1F2933"/>
        </w:rPr>
        <w:t>Pre-award / announced.</w:t>
      </w:r>
    </w:p>
    <w:p>
      <w:pPr>
        <w:keepLines/>
        <w:spacing w:before="0" w:after="80"/>
      </w:pPr>
      <w:r>
        <w:rPr>
          <w:rFonts w:ascii="Calibri" w:hAnsi="Calibri"/>
          <w:b/>
          <w:color w:val="173B57"/>
        </w:rPr>
        <w:t xml:space="preserve">Institution/location: </w:t>
      </w:r>
      <w:r>
        <w:rPr>
          <w:rFonts w:ascii="Calibri" w:hAnsi="Calibri"/>
          <w:color w:val="1F2933"/>
        </w:rPr>
        <w:t>Federal PPRA, MoITT, Ignite, PTA and PITB.</w:t>
      </w:r>
    </w:p>
    <w:p>
      <w:pPr>
        <w:keepLines/>
        <w:spacing w:before="0" w:after="80"/>
      </w:pPr>
      <w:r>
        <w:rPr>
          <w:rFonts w:ascii="Calibri" w:hAnsi="Calibri"/>
          <w:b/>
          <w:color w:val="173B57"/>
        </w:rPr>
        <w:t xml:space="preserve">Evidence: </w:t>
      </w:r>
      <w:r>
        <w:rPr>
          <w:rFonts w:ascii="Calibri" w:hAnsi="Calibri"/>
          <w:color w:val="1F2933"/>
        </w:rPr>
        <w:t>PPRA displayed 1,760 active/recent tenders, 2,705 evaluations and 536 contracts. The one-count tender increase was associated with a TDAP civil-works prequalification outside this monitor’s scope. No new AI/digital evaluation or contract appeared.</w:t>
      </w:r>
    </w:p>
    <w:p>
      <w:pPr>
        <w:keepLines/>
        <w:spacing w:before="0" w:after="80"/>
      </w:pPr>
      <w:r>
        <w:rPr>
          <w:rFonts w:ascii="Calibri" w:hAnsi="Calibri"/>
          <w:b/>
          <w:color w:val="173B57"/>
        </w:rPr>
        <w:t xml:space="preserve">What changed: </w:t>
      </w:r>
      <w:r>
        <w:rPr>
          <w:rFonts w:ascii="Calibri" w:hAnsi="Calibri"/>
          <w:color w:val="1F2933"/>
        </w:rPr>
        <w:t>The register moved by one unscoped tender; monitored AI/cloud tenders and deadlines did not change.</w:t>
      </w:r>
    </w:p>
    <w:p>
      <w:pPr>
        <w:keepLines/>
        <w:spacing w:before="0" w:after="80"/>
      </w:pPr>
      <w:r>
        <w:rPr>
          <w:rFonts w:ascii="Calibri" w:hAnsi="Calibri"/>
          <w:b/>
          <w:color w:val="173B57"/>
        </w:rPr>
        <w:t xml:space="preserve">Why it matters: </w:t>
      </w:r>
      <w:r>
        <w:rPr>
          <w:rFonts w:ascii="Calibri" w:hAnsi="Calibri"/>
          <w:color w:val="1F2933"/>
        </w:rPr>
        <w:t>The count delta shows that the live feed was updating, which strengthens the narrow finding that no relevant award or contract was visible at cutoff. It does not rule out later publication.</w:t>
      </w:r>
    </w:p>
    <w:p>
      <w:pPr>
        <w:keepLines/>
        <w:spacing w:before="0" w:after="140"/>
      </w:pPr>
      <w:r>
        <w:rPr>
          <w:rFonts w:ascii="Calibri" w:hAnsi="Calibri"/>
          <w:b/>
          <w:color w:val="173B57"/>
        </w:rPr>
        <w:t xml:space="preserve">Confidence: </w:t>
      </w:r>
      <w:r>
        <w:rPr>
          <w:rFonts w:ascii="Calibri" w:hAnsi="Calibri"/>
          <w:color w:val="1F2933"/>
        </w:rPr>
        <w:t>High for displayed counts and the classification of the top new row; medium-high for absence of a scoped entry on accessible pages.</w:t>
      </w:r>
    </w:p>
    <w:p>
      <w:pPr>
        <w:pStyle w:val="Heading1"/>
      </w:pPr>
      <w:r>
        <w:t>7. Provincial and local developments</w:t>
      </w:r>
    </w:p>
    <w:p>
      <w:pPr>
        <w:keepLines/>
      </w:pPr>
      <w:r>
        <w:rPr>
          <w:b/>
        </w:rPr>
        <w:t xml:space="preserve">Punjab. </w:t>
      </w:r>
      <w:r>
        <w:t>PITB’s Government AI Cloud consultancy remains pre-award with a 24 August closing date; DC-02 GPU servers remain pre-award with a 31 August closing date. No opening record, evaluation, award, delivery or commissioning appeared. Confidence: high for register status.</w:t>
      </w:r>
    </w:p>
    <w:p>
      <w:pPr>
        <w:keepLines/>
      </w:pPr>
      <w:r>
        <w:rPr>
          <w:b/>
        </w:rPr>
        <w:t xml:space="preserve">Sindh / Karachi. </w:t>
      </w:r>
      <w:r>
        <w:t>No new binding instrument, land or power commitment, EPC award, construction, certification or commissioning evidence surfaced for the reported CMPak/Zong AI-ready Tier-III data-centre collaboration. Confidence: medium, because the underlying report is an announcement and no primary contract was located.</w:t>
      </w:r>
    </w:p>
    <w:p>
      <w:pPr>
        <w:keepLines/>
      </w:pPr>
      <w:r>
        <w:rPr>
          <w:b/>
        </w:rPr>
        <w:t xml:space="preserve">Other provinces and territories. </w:t>
      </w:r>
      <w:r>
        <w:t>No qualifying post-cutoff milestone was verified in the observed official searches. Confidence: medium due to the very short Sunday window and potential publication delay.</w:t>
      </w:r>
    </w:p>
    <w:p>
      <w:pPr>
        <w:pStyle w:val="Heading1"/>
      </w:pPr>
      <w:r>
        <w:t>8. What changed / why it matters</w:t>
      </w:r>
    </w:p>
    <w:p>
      <w:pPr>
        <w:pStyle w:val="ListBullet"/>
      </w:pPr>
      <w:r>
        <w:t>The only observed live-register movement was PPRA’s active/recent-tender count, from 1,759 to 1,760. The new top item was outside scope; this is not an AI or digital-infrastructure development.</w:t>
      </w:r>
    </w:p>
    <w:p>
      <w:pPr>
        <w:pStyle w:val="ListBullet"/>
      </w:pPr>
      <w:r>
        <w:t>The policy position is unchanged: approved AI strategy coexists with a draft data-governance framework and no verified comprehensive personal-data-protection enactment. That leaves material compliance and accountability questions unsettled.</w:t>
      </w:r>
    </w:p>
    <w:p>
      <w:pPr>
        <w:pStyle w:val="ListBullet"/>
      </w:pPr>
      <w:r>
        <w:t>The implementation bottleneck remains procurement-to-operation. Awards, contracts, delivery acceptance, security accreditation, data-residency controls, power and cooling arrangements, and measured capacity are still missing for the watched infrastructure projects.</w:t>
      </w:r>
    </w:p>
    <w:p>
      <w:pPr>
        <w:pStyle w:val="ListBullet"/>
      </w:pPr>
      <w:r>
        <w:t>Tomorrow’s parliamentary sittings and the PITB AI Cloud deadline create the next plausible points of change. Bid closing is a process milestone, not evidence that a cloud exists or is operational.</w:t>
      </w:r>
    </w:p>
    <w:p>
      <w:r>
        <w:br w:type="page"/>
      </w:r>
    </w:p>
    <w:p>
      <w:pPr>
        <w:pStyle w:val="Heading1"/>
        <w:spacing w:before="720"/>
      </w:pPr>
      <w:r>
        <w:t>9. Watchlist</w:t>
      </w:r>
    </w:p>
    <w:tbl>
      <w:tblPr>
        <w:tblStyle w:val="TableGrid"/>
        <w:tblW w:type="dxa" w:w="9360"/>
        <w:jc w:val="left"/>
        <w:tblLayout w:type="fixed"/>
        <w:tblLook w:firstColumn="1" w:firstRow="1" w:lastColumn="0" w:lastRow="0" w:noHBand="0" w:noVBand="1" w:val="04A0"/>
        <w:tblInd w:w="120" w:type="dxa"/>
      </w:tblPr>
      <w:tblGrid>
        <w:gridCol w:w="1320"/>
        <w:gridCol w:w="8040"/>
      </w:tblGrid>
      <w:tr>
        <w:trPr>
          <w:tblHeader w:val="true"/>
        </w:trPr>
        <w:tc>
          <w:tcPr>
            <w:tcW w:type="dxa" w:w="1320"/>
            <w:shd w:fill="173B57"/>
            <w:tcMar>
              <w:top w:w="120" w:type="dxa"/>
              <w:start w:w="120" w:type="dxa"/>
              <w:bottom w:w="120" w:type="dxa"/>
              <w:end w:w="120" w:type="dxa"/>
            </w:tcMar>
            <w:vAlign w:val="center"/>
          </w:tcPr>
          <w:p>
            <w:r>
              <w:rPr>
                <w:rFonts w:ascii="Calibri" w:hAnsi="Calibri"/>
                <w:b/>
                <w:color w:val="FFFFFF"/>
                <w:sz w:val="19"/>
              </w:rPr>
              <w:t>Date</w:t>
            </w:r>
          </w:p>
        </w:tc>
        <w:tc>
          <w:tcPr>
            <w:tcW w:type="dxa" w:w="8040"/>
            <w:shd w:fill="173B57"/>
            <w:tcMar>
              <w:top w:w="120" w:type="dxa"/>
              <w:start w:w="120" w:type="dxa"/>
              <w:bottom w:w="120" w:type="dxa"/>
              <w:end w:w="120" w:type="dxa"/>
            </w:tcMar>
            <w:vAlign w:val="center"/>
          </w:tcPr>
          <w:p>
            <w:r>
              <w:rPr>
                <w:rFonts w:ascii="Calibri" w:hAnsi="Calibri"/>
                <w:b/>
                <w:color w:val="FFFFFF"/>
                <w:sz w:val="19"/>
              </w:rPr>
              <w:t>Verification target</w:t>
            </w:r>
          </w:p>
        </w:tc>
      </w:tr>
      <w:tr>
        <w:tc>
          <w:tcPr>
            <w:tcW w:type="dxa" w:w="1320"/>
            <w:tcMar>
              <w:top w:w="120" w:type="dxa"/>
              <w:start w:w="120" w:type="dxa"/>
              <w:bottom w:w="120" w:type="dxa"/>
              <w:end w:w="120" w:type="dxa"/>
            </w:tcMar>
            <w:vAlign w:val="center"/>
          </w:tcPr>
          <w:p>
            <w:pPr>
              <w:spacing w:after="0" w:line="252" w:lineRule="auto"/>
            </w:pPr>
            <w:r>
              <w:rPr>
                <w:rFonts w:ascii="Calibri" w:hAnsi="Calibri"/>
                <w:b/>
                <w:color w:val="173B57"/>
                <w:sz w:val="18"/>
              </w:rPr>
              <w:t>24 Aug</w:t>
            </w:r>
          </w:p>
        </w:tc>
        <w:tc>
          <w:tcPr>
            <w:tcW w:type="dxa" w:w="8040"/>
            <w:tcMar>
              <w:top w:w="120" w:type="dxa"/>
              <w:start w:w="120" w:type="dxa"/>
              <w:bottom w:w="120" w:type="dxa"/>
              <w:end w:w="120" w:type="dxa"/>
            </w:tcMar>
            <w:vAlign w:val="center"/>
          </w:tcPr>
          <w:p>
            <w:pPr>
              <w:spacing w:after="0" w:line="252" w:lineRule="auto"/>
            </w:pPr>
            <w:r>
              <w:rPr>
                <w:rFonts w:ascii="Calibri" w:hAnsi="Calibri"/>
                <w:b w:val="0"/>
                <w:color w:val="1F2933"/>
                <w:sz w:val="18"/>
              </w:rPr>
              <w:t>PITB Government AI Cloud closing/opening; National Assembly 17:00 PKT and Senate 16:00 PKT. Check bidder/opening records and any AI/data legislation or questions.</w:t>
            </w:r>
          </w:p>
        </w:tc>
      </w:tr>
      <w:tr>
        <w:tc>
          <w:tcPr>
            <w:tcW w:type="dxa" w:w="1320"/>
            <w:tcMar>
              <w:top w:w="120" w:type="dxa"/>
              <w:start w:w="120" w:type="dxa"/>
              <w:bottom w:w="120" w:type="dxa"/>
              <w:end w:w="120" w:type="dxa"/>
            </w:tcMar>
            <w:vAlign w:val="center"/>
          </w:tcPr>
          <w:p>
            <w:pPr>
              <w:spacing w:after="0" w:line="252" w:lineRule="auto"/>
            </w:pPr>
            <w:r>
              <w:rPr>
                <w:rFonts w:ascii="Calibri" w:hAnsi="Calibri"/>
                <w:b/>
                <w:color w:val="173B57"/>
                <w:sz w:val="18"/>
              </w:rPr>
              <w:t>25 Aug</w:t>
            </w:r>
          </w:p>
        </w:tc>
        <w:tc>
          <w:tcPr>
            <w:tcW w:type="dxa" w:w="8040"/>
            <w:tcMar>
              <w:top w:w="120" w:type="dxa"/>
              <w:start w:w="120" w:type="dxa"/>
              <w:bottom w:w="120" w:type="dxa"/>
              <w:end w:w="120" w:type="dxa"/>
            </w:tcMar>
            <w:vAlign w:val="center"/>
          </w:tcPr>
          <w:p>
            <w:pPr>
              <w:spacing w:after="0" w:line="252" w:lineRule="auto"/>
            </w:pPr>
            <w:r>
              <w:rPr>
                <w:rFonts w:ascii="Calibri" w:hAnsi="Calibri"/>
                <w:b w:val="0"/>
                <w:color w:val="1F2933"/>
                <w:sz w:val="18"/>
              </w:rPr>
              <w:t>MoITT NAAI hardware. Verify controlling deadline, bidders, specifications, evaluation, delivery/testing and acceptance. Resolve NTC battery deadline conflict.</w:t>
            </w:r>
          </w:p>
        </w:tc>
      </w:tr>
      <w:tr>
        <w:tc>
          <w:tcPr>
            <w:tcW w:type="dxa" w:w="1320"/>
            <w:tcMar>
              <w:top w:w="120" w:type="dxa"/>
              <w:start w:w="120" w:type="dxa"/>
              <w:bottom w:w="120" w:type="dxa"/>
              <w:end w:w="120" w:type="dxa"/>
            </w:tcMar>
            <w:vAlign w:val="center"/>
          </w:tcPr>
          <w:p>
            <w:pPr>
              <w:spacing w:after="0" w:line="252" w:lineRule="auto"/>
            </w:pPr>
            <w:r>
              <w:rPr>
                <w:rFonts w:ascii="Calibri" w:hAnsi="Calibri"/>
                <w:b/>
                <w:color w:val="173B57"/>
                <w:sz w:val="18"/>
              </w:rPr>
              <w:t>27 Aug</w:t>
            </w:r>
          </w:p>
        </w:tc>
        <w:tc>
          <w:tcPr>
            <w:tcW w:type="dxa" w:w="8040"/>
            <w:tcMar>
              <w:top w:w="120" w:type="dxa"/>
              <w:start w:w="120" w:type="dxa"/>
              <w:bottom w:w="120" w:type="dxa"/>
              <w:end w:w="120" w:type="dxa"/>
            </w:tcMar>
            <w:vAlign w:val="center"/>
          </w:tcPr>
          <w:p>
            <w:pPr>
              <w:spacing w:after="0" w:line="252" w:lineRule="auto"/>
            </w:pPr>
            <w:r>
              <w:rPr>
                <w:rFonts w:ascii="Calibri" w:hAnsi="Calibri"/>
                <w:b w:val="0"/>
                <w:color w:val="1F2933"/>
                <w:sz w:val="18"/>
              </w:rPr>
              <w:t>PTA AI-powered DIRBS. Check legal basis, data sources, privacy/security safeguards, accuracy, retention, auditability, human review and complaints/appeals.</w:t>
            </w:r>
          </w:p>
        </w:tc>
      </w:tr>
      <w:tr>
        <w:tc>
          <w:tcPr>
            <w:tcW w:type="dxa" w:w="1320"/>
            <w:tcMar>
              <w:top w:w="120" w:type="dxa"/>
              <w:start w:w="120" w:type="dxa"/>
              <w:bottom w:w="120" w:type="dxa"/>
              <w:end w:w="120" w:type="dxa"/>
            </w:tcMar>
            <w:vAlign w:val="center"/>
          </w:tcPr>
          <w:p>
            <w:pPr>
              <w:spacing w:after="0" w:line="252" w:lineRule="auto"/>
            </w:pPr>
            <w:r>
              <w:rPr>
                <w:rFonts w:ascii="Calibri" w:hAnsi="Calibri"/>
                <w:b/>
                <w:color w:val="173B57"/>
                <w:sz w:val="18"/>
              </w:rPr>
              <w:t>31 Aug</w:t>
            </w:r>
          </w:p>
        </w:tc>
        <w:tc>
          <w:tcPr>
            <w:tcW w:type="dxa" w:w="8040"/>
            <w:tcMar>
              <w:top w:w="120" w:type="dxa"/>
              <w:start w:w="120" w:type="dxa"/>
              <w:bottom w:w="120" w:type="dxa"/>
              <w:end w:w="120" w:type="dxa"/>
            </w:tcMar>
            <w:vAlign w:val="center"/>
          </w:tcPr>
          <w:p>
            <w:pPr>
              <w:spacing w:after="0" w:line="252" w:lineRule="auto"/>
            </w:pPr>
            <w:r>
              <w:rPr>
                <w:rFonts w:ascii="Calibri" w:hAnsi="Calibri"/>
                <w:b w:val="0"/>
                <w:color w:val="1F2933"/>
                <w:sz w:val="18"/>
              </w:rPr>
              <w:t>National AI Hubs and PITB DC-02 GPU servers. Check bids, awards, site/GPU/power/cooling/network details, operator, budget and access model.</w:t>
            </w:r>
          </w:p>
        </w:tc>
      </w:tr>
      <w:tr>
        <w:tc>
          <w:tcPr>
            <w:tcW w:type="dxa" w:w="1320"/>
            <w:tcMar>
              <w:top w:w="120" w:type="dxa"/>
              <w:start w:w="120" w:type="dxa"/>
              <w:bottom w:w="120" w:type="dxa"/>
              <w:end w:w="120" w:type="dxa"/>
            </w:tcMar>
            <w:vAlign w:val="center"/>
          </w:tcPr>
          <w:p>
            <w:pPr>
              <w:spacing w:after="0" w:line="252" w:lineRule="auto"/>
            </w:pPr>
            <w:r>
              <w:rPr>
                <w:rFonts w:ascii="Calibri" w:hAnsi="Calibri"/>
                <w:b/>
                <w:color w:val="173B57"/>
                <w:sz w:val="18"/>
              </w:rPr>
              <w:t>5 Sep</w:t>
            </w:r>
          </w:p>
        </w:tc>
        <w:tc>
          <w:tcPr>
            <w:tcW w:type="dxa" w:w="8040"/>
            <w:tcMar>
              <w:top w:w="120" w:type="dxa"/>
              <w:start w:w="120" w:type="dxa"/>
              <w:bottom w:w="120" w:type="dxa"/>
              <w:end w:w="120" w:type="dxa"/>
            </w:tcMar>
            <w:vAlign w:val="center"/>
          </w:tcPr>
          <w:p>
            <w:pPr>
              <w:spacing w:after="0" w:line="252" w:lineRule="auto"/>
            </w:pPr>
            <w:r>
              <w:rPr>
                <w:rFonts w:ascii="Calibri" w:hAnsi="Calibri"/>
                <w:b w:val="0"/>
                <w:color w:val="1F2933"/>
                <w:sz w:val="18"/>
              </w:rPr>
              <w:t>PVARA transition/application milestone: applications, NOCs, licences, sandbox decisions, enforcement, data security and published reasons.</w:t>
            </w:r>
          </w:p>
        </w:tc>
      </w:tr>
      <w:tr>
        <w:tc>
          <w:tcPr>
            <w:tcW w:type="dxa" w:w="1320"/>
            <w:tcMar>
              <w:top w:w="120" w:type="dxa"/>
              <w:start w:w="120" w:type="dxa"/>
              <w:bottom w:w="120" w:type="dxa"/>
              <w:end w:w="120" w:type="dxa"/>
            </w:tcMar>
            <w:vAlign w:val="center"/>
          </w:tcPr>
          <w:p>
            <w:pPr>
              <w:spacing w:after="0" w:line="252" w:lineRule="auto"/>
            </w:pPr>
            <w:r>
              <w:rPr>
                <w:rFonts w:ascii="Calibri" w:hAnsi="Calibri"/>
                <w:b/>
                <w:color w:val="173B57"/>
                <w:sz w:val="18"/>
              </w:rPr>
              <w:t>10 Sep</w:t>
            </w:r>
          </w:p>
        </w:tc>
        <w:tc>
          <w:tcPr>
            <w:tcW w:type="dxa" w:w="8040"/>
            <w:tcMar>
              <w:top w:w="120" w:type="dxa"/>
              <w:start w:w="120" w:type="dxa"/>
              <w:bottom w:w="120" w:type="dxa"/>
              <w:end w:w="120" w:type="dxa"/>
            </w:tcMar>
            <w:vAlign w:val="center"/>
          </w:tcPr>
          <w:p>
            <w:pPr>
              <w:spacing w:after="0" w:line="252" w:lineRule="auto"/>
            </w:pPr>
            <w:r>
              <w:rPr>
                <w:rFonts w:ascii="Calibri" w:hAnsi="Calibri"/>
                <w:b w:val="0"/>
                <w:color w:val="1F2933"/>
                <w:sz w:val="18"/>
              </w:rPr>
              <w:t>NTC Peshawar battery date shown in PPRA main fields; determine whether it supersedes the 25 August dates in corrigendum history.</w:t>
            </w:r>
          </w:p>
        </w:tc>
      </w:tr>
      <w:tr>
        <w:tc>
          <w:tcPr>
            <w:tcW w:type="dxa" w:w="1320"/>
            <w:tcMar>
              <w:top w:w="120" w:type="dxa"/>
              <w:start w:w="120" w:type="dxa"/>
              <w:bottom w:w="120" w:type="dxa"/>
              <w:end w:w="120" w:type="dxa"/>
            </w:tcMar>
            <w:vAlign w:val="center"/>
          </w:tcPr>
          <w:p>
            <w:pPr>
              <w:spacing w:after="0" w:line="252" w:lineRule="auto"/>
            </w:pPr>
            <w:r>
              <w:rPr>
                <w:rFonts w:ascii="Calibri" w:hAnsi="Calibri"/>
                <w:b/>
                <w:color w:val="173B57"/>
                <w:sz w:val="18"/>
              </w:rPr>
              <w:t>21 Sep</w:t>
            </w:r>
          </w:p>
        </w:tc>
        <w:tc>
          <w:tcPr>
            <w:tcW w:type="dxa" w:w="8040"/>
            <w:tcMar>
              <w:top w:w="120" w:type="dxa"/>
              <w:start w:w="120" w:type="dxa"/>
              <w:bottom w:w="120" w:type="dxa"/>
              <w:end w:w="120" w:type="dxa"/>
            </w:tcMar>
            <w:vAlign w:val="center"/>
          </w:tcPr>
          <w:p>
            <w:pPr>
              <w:spacing w:after="0" w:line="252" w:lineRule="auto"/>
            </w:pPr>
            <w:r>
              <w:rPr>
                <w:rFonts w:ascii="Calibri" w:hAnsi="Calibri"/>
                <w:b w:val="0"/>
                <w:color w:val="1F2933"/>
                <w:sz w:val="18"/>
              </w:rPr>
              <w:t>Ignite sovereign National AI Infrastructure: bids, award, sites, capacity, residency, security, SLAs, power, connectivity, commissioning and access.</w:t>
            </w:r>
          </w:p>
        </w:tc>
      </w:tr>
      <w:tr>
        <w:tc>
          <w:tcPr>
            <w:tcW w:type="dxa" w:w="1320"/>
            <w:tcMar>
              <w:top w:w="120" w:type="dxa"/>
              <w:start w:w="120" w:type="dxa"/>
              <w:bottom w:w="120" w:type="dxa"/>
              <w:end w:w="120" w:type="dxa"/>
            </w:tcMar>
            <w:vAlign w:val="center"/>
          </w:tcPr>
          <w:p>
            <w:pPr>
              <w:spacing w:after="0" w:line="252" w:lineRule="auto"/>
            </w:pPr>
            <w:r>
              <w:rPr>
                <w:rFonts w:ascii="Calibri" w:hAnsi="Calibri"/>
                <w:b/>
                <w:color w:val="173B57"/>
                <w:sz w:val="18"/>
              </w:rPr>
              <w:t>Ongoing</w:t>
            </w:r>
          </w:p>
        </w:tc>
        <w:tc>
          <w:tcPr>
            <w:tcW w:type="dxa" w:w="8040"/>
            <w:tcMar>
              <w:top w:w="120" w:type="dxa"/>
              <w:start w:w="120" w:type="dxa"/>
              <w:bottom w:w="120" w:type="dxa"/>
              <w:end w:w="120" w:type="dxa"/>
            </w:tcMar>
            <w:vAlign w:val="center"/>
          </w:tcPr>
          <w:p>
            <w:pPr>
              <w:spacing w:after="0" w:line="252" w:lineRule="auto"/>
            </w:pPr>
            <w:r>
              <w:rPr>
                <w:rFonts w:ascii="Calibri" w:hAnsi="Calibri"/>
                <w:b w:val="0"/>
                <w:color w:val="1F2933"/>
                <w:sz w:val="18"/>
              </w:rPr>
              <w:t>Final Data Governance Policy/personal-data-protection text; Google premises/entity/staffing/MoU delivery/data flows/local hosting/investment; provincial data-centre contracts and energy commitments.</w:t>
            </w:r>
          </w:p>
        </w:tc>
      </w:tr>
    </w:tbl>
    <w:p>
      <w:pPr>
        <w:pStyle w:val="Heading1"/>
      </w:pPr>
      <w:r>
        <w:t>10. Sources</w:t>
      </w:r>
    </w:p>
    <w:p>
      <w:pPr>
        <w:pStyle w:val="ListBullet"/>
      </w:pPr>
      <w:hyperlink r:id="rId12">
        <w:r>
          <w:rPr>
            <w:color w:val="147D7E"/>
            <w:u w:val="single"/>
          </w:rPr>
          <w:t>Press Information Department — live press-release index</w:t>
        </w:r>
      </w:hyperlink>
      <w:r>
        <w:rPr>
          <w:rFonts w:ascii="Calibri" w:hAnsi="Calibri"/>
          <w:color w:val="5C6873"/>
          <w:sz w:val="19"/>
        </w:rPr>
        <w:t xml:space="preserve"> — 23 Aug 2026, accessed; latest entry PR 271 at 19:23:35 PKT.</w:t>
      </w:r>
    </w:p>
    <w:p>
      <w:pPr>
        <w:pStyle w:val="ListBullet"/>
      </w:pPr>
      <w:hyperlink r:id="rId13">
        <w:r>
          <w:rPr>
            <w:color w:val="147D7E"/>
            <w:u w:val="single"/>
          </w:rPr>
          <w:t>MoITT — Policies register</w:t>
        </w:r>
      </w:hyperlink>
      <w:r>
        <w:rPr>
          <w:rFonts w:ascii="Calibri" w:hAnsi="Calibri"/>
          <w:color w:val="5C6873"/>
          <w:sz w:val="19"/>
        </w:rPr>
        <w:t xml:space="preserve"> — accessed 23 Aug 2026; AI Policy approved 31 Jul 2025; Data Governance Policy listed draft, 26 Jun 2026.</w:t>
      </w:r>
    </w:p>
    <w:p>
      <w:pPr>
        <w:pStyle w:val="ListBullet"/>
      </w:pPr>
      <w:hyperlink r:id="rId14">
        <w:r>
          <w:rPr>
            <w:color w:val="147D7E"/>
            <w:u w:val="single"/>
          </w:rPr>
          <w:t>Pakistan Digital Authority — consultations concluded on National Data Governance Policy 2026</w:t>
        </w:r>
      </w:hyperlink>
      <w:r>
        <w:rPr>
          <w:rFonts w:ascii="Calibri" w:hAnsi="Calibri"/>
          <w:color w:val="5C6873"/>
          <w:sz w:val="19"/>
        </w:rPr>
        <w:t xml:space="preserve"> — 5 Aug 2026.</w:t>
      </w:r>
    </w:p>
    <w:p>
      <w:pPr>
        <w:pStyle w:val="ListBullet"/>
      </w:pPr>
      <w:hyperlink r:id="rId15">
        <w:r>
          <w:rPr>
            <w:color w:val="147D7E"/>
            <w:u w:val="single"/>
          </w:rPr>
          <w:t>PKCERT — Advisories 2026 index</w:t>
        </w:r>
      </w:hyperlink>
      <w:r>
        <w:rPr>
          <w:rFonts w:ascii="Calibri" w:hAnsi="Calibri"/>
          <w:color w:val="5C6873"/>
          <w:sz w:val="19"/>
        </w:rPr>
        <w:t xml:space="preserve"> — undated dynamic page, accessed 23 Aug 2026.</w:t>
      </w:r>
    </w:p>
    <w:p>
      <w:pPr>
        <w:pStyle w:val="ListBullet"/>
      </w:pPr>
      <w:hyperlink r:id="rId16">
        <w:r>
          <w:rPr>
            <w:color w:val="147D7E"/>
            <w:u w:val="single"/>
          </w:rPr>
          <w:t>PVARA — Regulatory framework and S.R.O. listings</w:t>
        </w:r>
      </w:hyperlink>
      <w:r>
        <w:rPr>
          <w:rFonts w:ascii="Calibri" w:hAnsi="Calibri"/>
          <w:color w:val="5C6873"/>
          <w:sz w:val="19"/>
        </w:rPr>
        <w:t xml:space="preserve"> — accessed 23 Aug 2026; instruments dated 21 Aug 2026.</w:t>
      </w:r>
    </w:p>
    <w:p>
      <w:pPr>
        <w:pStyle w:val="ListBullet"/>
      </w:pPr>
      <w:hyperlink r:id="rId17">
        <w:r>
          <w:rPr>
            <w:color w:val="147D7E"/>
            <w:u w:val="single"/>
          </w:rPr>
          <w:t>National Assembly — Government bills register</w:t>
        </w:r>
      </w:hyperlink>
      <w:r>
        <w:rPr>
          <w:rFonts w:ascii="Calibri" w:hAnsi="Calibri"/>
          <w:color w:val="5C6873"/>
          <w:sz w:val="19"/>
        </w:rPr>
        <w:t xml:space="preserve"> — accessed 23 Aug 2026.</w:t>
      </w:r>
    </w:p>
    <w:p>
      <w:pPr>
        <w:pStyle w:val="ListBullet"/>
      </w:pPr>
      <w:hyperlink r:id="rId18">
        <w:r>
          <w:rPr>
            <w:color w:val="147D7E"/>
            <w:u w:val="single"/>
          </w:rPr>
          <w:t>Senate of Pakistan — Orders of the Day</w:t>
        </w:r>
      </w:hyperlink>
      <w:r>
        <w:rPr>
          <w:rFonts w:ascii="Calibri" w:hAnsi="Calibri"/>
          <w:color w:val="5C6873"/>
          <w:sz w:val="19"/>
        </w:rPr>
        <w:t xml:space="preserve"> — accessed 23 Aug 2026; latest observed business dated 21 Aug 2026.</w:t>
      </w:r>
    </w:p>
    <w:p>
      <w:pPr>
        <w:pStyle w:val="ListBullet"/>
      </w:pPr>
      <w:hyperlink r:id="rId19">
        <w:r>
          <w:rPr>
            <w:color w:val="147D7E"/>
            <w:u w:val="single"/>
          </w:rPr>
          <w:t>Federal PPRA — active/recent tenders</w:t>
        </w:r>
      </w:hyperlink>
      <w:r>
        <w:rPr>
          <w:rFonts w:ascii="Calibri" w:hAnsi="Calibri"/>
          <w:color w:val="5C6873"/>
          <w:sz w:val="19"/>
        </w:rPr>
        <w:t xml:space="preserve"> — accessed 23 Aug 2026.</w:t>
      </w:r>
    </w:p>
    <w:p>
      <w:pPr>
        <w:pStyle w:val="ListBullet"/>
      </w:pPr>
      <w:hyperlink r:id="rId20">
        <w:r>
          <w:rPr>
            <w:color w:val="147D7E"/>
            <w:u w:val="single"/>
          </w:rPr>
          <w:t>Federal PPRA — evaluation results</w:t>
        </w:r>
      </w:hyperlink>
      <w:r>
        <w:rPr>
          <w:rFonts w:ascii="Calibri" w:hAnsi="Calibri"/>
          <w:color w:val="5C6873"/>
          <w:sz w:val="19"/>
        </w:rPr>
        <w:t xml:space="preserve"> — accessed 23 Aug 2026.</w:t>
      </w:r>
    </w:p>
    <w:p>
      <w:pPr>
        <w:pStyle w:val="ListBullet"/>
      </w:pPr>
      <w:hyperlink r:id="rId21">
        <w:r>
          <w:rPr>
            <w:color w:val="147D7E"/>
            <w:u w:val="single"/>
          </w:rPr>
          <w:t>Federal PPRA — procurement contracts</w:t>
        </w:r>
      </w:hyperlink>
      <w:r>
        <w:rPr>
          <w:rFonts w:ascii="Calibri" w:hAnsi="Calibri"/>
          <w:color w:val="5C6873"/>
          <w:sz w:val="19"/>
        </w:rPr>
        <w:t xml:space="preserve"> — accessed 23 Aug 2026.</w:t>
      </w:r>
    </w:p>
    <w:p>
      <w:pPr>
        <w:pStyle w:val="ListBullet"/>
      </w:pPr>
      <w:hyperlink r:id="rId22">
        <w:r>
          <w:rPr>
            <w:color w:val="147D7E"/>
            <w:u w:val="single"/>
          </w:rPr>
          <w:t>PITB — tender notices</w:t>
        </w:r>
      </w:hyperlink>
      <w:r>
        <w:rPr>
          <w:rFonts w:ascii="Calibri" w:hAnsi="Calibri"/>
          <w:color w:val="5C6873"/>
          <w:sz w:val="19"/>
        </w:rPr>
        <w:t xml:space="preserve"> — accessed 23 Aug 2026; relevant releases dated 12 Aug 2026.</w:t>
      </w:r>
    </w:p>
    <w:p>
      <w:pPr>
        <w:pStyle w:val="ListBullet"/>
      </w:pPr>
      <w:hyperlink r:id="rId23">
        <w:r>
          <w:rPr>
            <w:color w:val="147D7E"/>
            <w:u w:val="single"/>
          </w:rPr>
          <w:t>PPRA — Ignite sovereign National AI Infrastructure RFP TS0000010170E</w:t>
        </w:r>
      </w:hyperlink>
      <w:r>
        <w:rPr>
          <w:rFonts w:ascii="Calibri" w:hAnsi="Calibri"/>
          <w:color w:val="5C6873"/>
          <w:sz w:val="19"/>
        </w:rPr>
        <w:t xml:space="preserve"> — closing 21 Sep 2026.</w:t>
      </w:r>
    </w:p>
    <w:p>
      <w:pPr>
        <w:pStyle w:val="ListBullet"/>
      </w:pPr>
      <w:hyperlink r:id="rId24">
        <w:r>
          <w:rPr>
            <w:color w:val="147D7E"/>
            <w:u w:val="single"/>
          </w:rPr>
          <w:t>PPRA — PTA AI-powered DIRBS consultancy TS0000011207E</w:t>
        </w:r>
      </w:hyperlink>
      <w:r>
        <w:rPr>
          <w:rFonts w:ascii="Calibri" w:hAnsi="Calibri"/>
          <w:color w:val="5C6873"/>
          <w:sz w:val="19"/>
        </w:rPr>
        <w:t xml:space="preserve"> — advertised 10 Aug 2026; closes 27 Aug 2026.</w:t>
      </w:r>
    </w:p>
    <w:p>
      <w:pPr>
        <w:pStyle w:val="ListBullet"/>
      </w:pPr>
      <w:hyperlink r:id="rId25">
        <w:r>
          <w:rPr>
            <w:color w:val="147D7E"/>
            <w:u w:val="single"/>
          </w:rPr>
          <w:t>PPRA — National AI Hubs TS0000010287E</w:t>
        </w:r>
      </w:hyperlink>
      <w:r>
        <w:rPr>
          <w:rFonts w:ascii="Calibri" w:hAnsi="Calibri"/>
          <w:color w:val="5C6873"/>
          <w:sz w:val="19"/>
        </w:rPr>
        <w:t xml:space="preserve"> — advertised 18 Aug 2026; closes 31 Aug 2026.</w:t>
      </w:r>
    </w:p>
    <w:p>
      <w:pPr>
        <w:pStyle w:val="ListBullet"/>
      </w:pPr>
      <w:hyperlink r:id="rId26">
        <w:r>
          <w:rPr>
            <w:color w:val="147D7E"/>
            <w:u w:val="single"/>
          </w:rPr>
          <w:t>PPRA — NTC Peshawar battery banks TS0000011042E</w:t>
        </w:r>
      </w:hyperlink>
      <w:r>
        <w:rPr>
          <w:rFonts w:ascii="Calibri" w:hAnsi="Calibri"/>
          <w:color w:val="5C6873"/>
          <w:sz w:val="19"/>
        </w:rPr>
        <w:t xml:space="preserve"> — advertised/corrigendum 23 Aug 2026; conflicting deadlines displayed.</w:t>
      </w:r>
    </w:p>
    <w:p>
      <w:pPr>
        <w:pStyle w:val="ListBullet"/>
      </w:pPr>
      <w:hyperlink r:id="rId27">
        <w:r>
          <w:rPr>
            <w:color w:val="147D7E"/>
            <w:u w:val="single"/>
          </w:rPr>
          <w:t>PID — Prime Minister/Google delegation and inauguration statement</w:t>
        </w:r>
      </w:hyperlink>
      <w:r>
        <w:rPr>
          <w:rFonts w:ascii="Calibri" w:hAnsi="Calibri"/>
          <w:color w:val="5C6873"/>
          <w:sz w:val="19"/>
        </w:rPr>
        <w:t xml:space="preserve"> — 18 Aug 2026.</w:t>
      </w:r>
    </w:p>
    <w:p>
      <w:pPr>
        <w:pStyle w:val="ListBullet"/>
      </w:pPr>
      <w:hyperlink r:id="rId28">
        <w:r>
          <w:rPr>
            <w:color w:val="147D7E"/>
            <w:u w:val="single"/>
          </w:rPr>
          <w:t>PID — Government of Pakistan–Google framework MoU</w:t>
        </w:r>
      </w:hyperlink>
      <w:r>
        <w:rPr>
          <w:rFonts w:ascii="Calibri" w:hAnsi="Calibri"/>
          <w:color w:val="5C6873"/>
          <w:sz w:val="19"/>
        </w:rPr>
        <w:t xml:space="preserve"> — 21 Aug 2026.</w:t>
      </w:r>
    </w:p>
    <w:p>
      <w:pPr>
        <w:pStyle w:val="ListBullet"/>
      </w:pPr>
      <w:hyperlink r:id="rId29">
        <w:r>
          <w:rPr>
            <w:color w:val="147D7E"/>
            <w:u w:val="single"/>
          </w:rPr>
          <w:t>Google — office locations directory</w:t>
        </w:r>
      </w:hyperlink>
      <w:r>
        <w:rPr>
          <w:rFonts w:ascii="Calibri" w:hAnsi="Calibri"/>
          <w:color w:val="5C6873"/>
          <w:sz w:val="19"/>
        </w:rPr>
        <w:t xml:space="preserve"> — undated dynamic page, accessed 23 Aug 2026.</w:t>
      </w:r>
    </w:p>
    <w:p>
      <w:pPr>
        <w:pStyle w:val="ListBullet"/>
      </w:pPr>
      <w:hyperlink r:id="rId30">
        <w:r>
          <w:rPr>
            <w:color w:val="147D7E"/>
            <w:u w:val="single"/>
          </w:rPr>
          <w:t>Google — Pakistan country page</w:t>
        </w:r>
      </w:hyperlink>
      <w:r>
        <w:rPr>
          <w:rFonts w:ascii="Calibri" w:hAnsi="Calibri"/>
          <w:color w:val="5C6873"/>
          <w:sz w:val="19"/>
        </w:rPr>
        <w:t xml:space="preserve"> — undated dynamic page, accessed 23 Aug 2026.</w:t>
      </w:r>
    </w:p>
    <w:p>
      <w:pPr>
        <w:pStyle w:val="ListBullet"/>
      </w:pPr>
      <w:hyperlink r:id="rId31">
        <w:r>
          <w:rPr>
            <w:color w:val="147D7E"/>
            <w:u w:val="single"/>
          </w:rPr>
          <w:t>Google Cloud — regions and zones</w:t>
        </w:r>
      </w:hyperlink>
      <w:r>
        <w:rPr>
          <w:rFonts w:ascii="Calibri" w:hAnsi="Calibri"/>
          <w:color w:val="5C6873"/>
          <w:sz w:val="19"/>
        </w:rPr>
        <w:t xml:space="preserve"> — undated dynamic page, accessed 23 Aug 2026.</w:t>
      </w:r>
    </w:p>
    <w:p>
      <w:pPr>
        <w:pStyle w:val="ListBullet"/>
      </w:pPr>
      <w:hyperlink r:id="rId32">
        <w:r>
          <w:rPr>
            <w:color w:val="147D7E"/>
            <w:u w:val="single"/>
          </w:rPr>
          <w:t>Google Data Centers — locations</w:t>
        </w:r>
      </w:hyperlink>
      <w:r>
        <w:rPr>
          <w:rFonts w:ascii="Calibri" w:hAnsi="Calibri"/>
          <w:color w:val="5C6873"/>
          <w:sz w:val="19"/>
        </w:rPr>
        <w:t xml:space="preserve"> — undated dynamic page, accessed 23 Aug 2026.</w:t>
      </w:r>
    </w:p>
    <w:p>
      <w:pPr>
        <w:pStyle w:val="ListBullet"/>
      </w:pPr>
      <w:hyperlink r:id="rId33">
        <w:r>
          <w:rPr>
            <w:color w:val="147D7E"/>
            <w:u w:val="single"/>
          </w:rPr>
          <w:t>Dawn — reported Sindh/CMPak data-centre collaboration</w:t>
        </w:r>
      </w:hyperlink>
      <w:r>
        <w:rPr>
          <w:rFonts w:ascii="Calibri" w:hAnsi="Calibri"/>
          <w:color w:val="5C6873"/>
          <w:sz w:val="19"/>
        </w:rPr>
        <w:t xml:space="preserve"> — 21 Aug 2026.</w:t>
      </w:r>
    </w:p>
    <w:p>
      <w:pPr>
        <w:spacing w:before="200"/>
      </w:pPr>
      <w:r>
        <w:rPr>
          <w:rFonts w:ascii="Calibri" w:hAnsi="Calibri"/>
          <w:b/>
          <w:color w:val="173B57"/>
        </w:rPr>
        <w:t xml:space="preserve">Method note. </w:t>
      </w:r>
      <w:r>
        <w:rPr>
          <w:rFonts w:ascii="Calibri" w:hAnsi="Calibri"/>
          <w:color w:val="5C6873"/>
          <w:sz w:val="19"/>
        </w:rPr>
        <w:t>Primary sources were preferred and consequential claims were checked against live registers or canonical company directories. No item was promoted from proposal, announcement or tender to implementation without award, contract, delivery or operational evidence. Search coverage ended at approximately 15:10 UTC / 20:10 PKT on 23 August 2026.</w:t>
      </w:r>
    </w:p>
    <w:sectPr w:rsidR="00FC693F" w:rsidRPr="0006063C" w:rsidSect="00034616">
      <w:headerReference w:type="default" r:id="rId9"/>
      <w:footerReference w:type="default" r:id="rId10"/>
      <w:footerReference w:type="even" r:id="rId11"/>
      <w:pgSz w:w="12240" w:h="15840"/>
      <w:pgMar w:top="1152"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873"/>
        <w:sz w:val="17"/>
      </w:rPr>
      <w:t xml:space="preserve">Pakistan AI Policy &amp; Infrastructure Daily Brief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873"/>
        <w:sz w:val="17"/>
      </w:rPr>
      <w:t xml:space="preserve">Pakistan AI Policy &amp; Infrastructure Daily Brief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i w:val="0"/>
      <w:color w:val="173B5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i w:val="0"/>
      <w:color w:val="147D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Calibri" w:hAnsi="Calibri"/>
      <w:b/>
      <w:i w:val="0"/>
      <w:color w:val="173B5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val="0"/>
      <w:iCs/>
      <w:color w:val="5C68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pid.gov.pk/site/press" TargetMode="External"/><Relationship Id="rId13" Type="http://schemas.openxmlformats.org/officeDocument/2006/relationships/hyperlink" Target="https://www.moitt.gov.pk/Policies" TargetMode="External"/><Relationship Id="rId14" Type="http://schemas.openxmlformats.org/officeDocument/2006/relationships/hyperlink" Target="https://pda.gov.pk/press-details.php?id=pda-dgp-consultation" TargetMode="External"/><Relationship Id="rId15" Type="http://schemas.openxmlformats.org/officeDocument/2006/relationships/hyperlink" Target="https://pkcert.gov.pk/advisories.asp" TargetMode="External"/><Relationship Id="rId16" Type="http://schemas.openxmlformats.org/officeDocument/2006/relationships/hyperlink" Target="https://pvara.gov.pk/regulations" TargetMode="External"/><Relationship Id="rId17" Type="http://schemas.openxmlformats.org/officeDocument/2006/relationships/hyperlink" Target="https://www.na.gov.pk/en/bills.php?type=1" TargetMode="External"/><Relationship Id="rId18" Type="http://schemas.openxmlformats.org/officeDocument/2006/relationships/hyperlink" Target="https://senate.gov.pk/en/order_of_day.php" TargetMode="External"/><Relationship Id="rId19" Type="http://schemas.openxmlformats.org/officeDocument/2006/relationships/hyperlink" Target="https://epms.ppra.gov.pk/public/tenders/active-tenders?page=1" TargetMode="External"/><Relationship Id="rId20" Type="http://schemas.openxmlformats.org/officeDocument/2006/relationships/hyperlink" Target="https://epms.ppra.gov.pk/public/evaluations?page=1" TargetMode="External"/><Relationship Id="rId21" Type="http://schemas.openxmlformats.org/officeDocument/2006/relationships/hyperlink" Target="https://epms.ppra.gov.pk/public/contracts?page=1" TargetMode="External"/><Relationship Id="rId22" Type="http://schemas.openxmlformats.org/officeDocument/2006/relationships/hyperlink" Target="https://pitb.gov.pk/tendernotices" TargetMode="External"/><Relationship Id="rId23" Type="http://schemas.openxmlformats.org/officeDocument/2006/relationships/hyperlink" Target="https://epms.ppra.gov.pk/public/tenders/tender-details/TS0000010170E" TargetMode="External"/><Relationship Id="rId24" Type="http://schemas.openxmlformats.org/officeDocument/2006/relationships/hyperlink" Target="https://epms.ppra.gov.pk/public/tenders/tender-details/TS0000011207E" TargetMode="External"/><Relationship Id="rId25" Type="http://schemas.openxmlformats.org/officeDocument/2006/relationships/hyperlink" Target="https://epms.ppra.gov.pk/public/tenders/tender-details/TS0000010287E" TargetMode="External"/><Relationship Id="rId26" Type="http://schemas.openxmlformats.org/officeDocument/2006/relationships/hyperlink" Target="https://epms.ppra.gov.pk/public/tenders/tender-details/TS0000011042E" TargetMode="External"/><Relationship Id="rId27" Type="http://schemas.openxmlformats.org/officeDocument/2006/relationships/hyperlink" Target="https://pid.gov.pk/site/press_detail/33638" TargetMode="External"/><Relationship Id="rId28" Type="http://schemas.openxmlformats.org/officeDocument/2006/relationships/hyperlink" Target="https://pid.gov.pk/site/press_detail/33684" TargetMode="External"/><Relationship Id="rId29" Type="http://schemas.openxmlformats.org/officeDocument/2006/relationships/hyperlink" Target="https://about.google/company-info/locations/" TargetMode="External"/><Relationship Id="rId30" Type="http://schemas.openxmlformats.org/officeDocument/2006/relationships/hyperlink" Target="https://about.google/intl/ALL_pk/around-the-globe/local-info/" TargetMode="External"/><Relationship Id="rId31" Type="http://schemas.openxmlformats.org/officeDocument/2006/relationships/hyperlink" Target="https://cloud.google.com/about/locations" TargetMode="External"/><Relationship Id="rId32" Type="http://schemas.openxmlformats.org/officeDocument/2006/relationships/hyperlink" Target="https://datacenters.google/locations/" TargetMode="External"/><Relationship Id="rId33" Type="http://schemas.openxmlformats.org/officeDocument/2006/relationships/hyperlink" Target="https://www.dawn.com/news/20242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AI Policy &amp; Infrastructure Daily Brief — 23 August 2026</dc:title>
  <dc:subject>Strict post-cutoff daily monitoring report</dc:subject>
  <dc:creator>Pakistan AI Policy Monitor</dc:creator>
  <cp:keywords>Pakistan, artificial intelligence, data protection, cybersecurity, cloud, data centres, policy</cp:keywords>
  <dc:description>generated by python-docx</dc:description>
  <cp:lastModifiedBy/>
  <cp:revision>1</cp:revision>
  <dcterms:created xsi:type="dcterms:W3CDTF">2013-12-23T23:15:00Z</dcterms:created>
  <dcterms:modified xsi:type="dcterms:W3CDTF">2013-12-23T23:15:00Z</dcterms:modified>
  <cp:category/>
</cp:coreProperties>
</file>