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i w:val="0"/>
          <w:color w:val="1C242D"/>
          <w:sz w:val="46"/>
        </w:rPr>
        <w:t>PAKISTAN AI POLICY &amp; INFRASTRUCTURE DAILY BRIEF</w:t>
      </w:r>
    </w:p>
    <w:p>
      <w:pPr>
        <w:spacing w:after="240"/>
      </w:pPr>
      <w:r>
        <w:rPr>
          <w:rFonts w:ascii="Calibri" w:hAnsi="Calibri"/>
          <w:b/>
          <w:i w:val="0"/>
          <w:color w:val="2E74B5"/>
          <w:sz w:val="30"/>
        </w:rPr>
        <w:t>26 August 2026</w:t>
      </w:r>
    </w:p>
    <w:p>
      <w:pPr>
        <w:spacing w:after="40"/>
      </w:pPr>
      <w:r>
        <w:rPr>
          <w:rFonts w:ascii="Calibri" w:hAnsi="Calibri"/>
          <w:b/>
          <w:i w:val="0"/>
          <w:color w:val="5C6570"/>
          <w:sz w:val="20"/>
        </w:rPr>
        <w:t xml:space="preserve">Research window: </w:t>
      </w:r>
      <w:r>
        <w:rPr>
          <w:rFonts w:ascii="Calibri" w:hAnsi="Calibri"/>
          <w:b w:val="0"/>
          <w:i w:val="0"/>
          <w:color w:val="1C242D"/>
          <w:sz w:val="20"/>
        </w:rPr>
        <w:t>06:38–07:10 PKT, 26 August 2026</w:t>
      </w:r>
    </w:p>
    <w:p>
      <w:pPr>
        <w:spacing w:after="40"/>
      </w:pPr>
      <w:r>
        <w:rPr>
          <w:rFonts w:ascii="Calibri" w:hAnsi="Calibri"/>
          <w:b/>
          <w:i w:val="0"/>
          <w:color w:val="5C6570"/>
          <w:sz w:val="20"/>
        </w:rPr>
        <w:t xml:space="preserve">Comparison point: </w:t>
      </w:r>
      <w:r>
        <w:rPr>
          <w:rFonts w:ascii="Calibri" w:hAnsi="Calibri"/>
          <w:b w:val="0"/>
          <w:i w:val="0"/>
          <w:color w:val="1C242D"/>
          <w:sz w:val="20"/>
        </w:rPr>
        <w:t>Previous briefing cutoff: 06:38 PKT</w:t>
      </w:r>
    </w:p>
    <w:p>
      <w:pPr>
        <w:spacing w:after="40"/>
      </w:pPr>
      <w:r>
        <w:rPr>
          <w:rFonts w:ascii="Calibri" w:hAnsi="Calibri"/>
          <w:b/>
          <w:i w:val="0"/>
          <w:color w:val="5C6570"/>
          <w:sz w:val="20"/>
        </w:rPr>
        <w:t xml:space="preserve">Scope: </w:t>
      </w:r>
      <w:r>
        <w:rPr>
          <w:rFonts w:ascii="Calibri" w:hAnsi="Calibri"/>
          <w:b w:val="0"/>
          <w:i w:val="0"/>
          <w:color w:val="1C242D"/>
          <w:sz w:val="20"/>
        </w:rPr>
        <w:t>Strict post-cutoff delta, with active implementation baseline</w:t>
      </w:r>
    </w:p>
    <w:p>
      <w:pPr>
        <w:spacing w:after="40"/>
      </w:pPr>
      <w:r>
        <w:rPr>
          <w:rFonts w:ascii="Calibri" w:hAnsi="Calibri"/>
          <w:b/>
          <w:i w:val="0"/>
          <w:color w:val="5C6570"/>
          <w:sz w:val="20"/>
        </w:rPr>
        <w:t xml:space="preserve">Overall confidence: </w:t>
      </w:r>
      <w:r>
        <w:rPr>
          <w:rFonts w:ascii="Calibri" w:hAnsi="Calibri"/>
          <w:b w:val="0"/>
          <w:i w:val="0"/>
          <w:color w:val="1C242D"/>
          <w:sz w:val="20"/>
        </w:rPr>
        <w:t>Medium-high on the aggregate no-material-change finding</w:t>
      </w:r>
    </w:p>
    <w:p>
      <w:pPr>
        <w:shd w:fill="EEF4FA"/>
        <w:spacing w:before="100" w:after="160"/>
        <w:ind w:left="173" w:right="173"/>
      </w:pPr>
      <w:r>
        <w:rPr>
          <w:rFonts w:ascii="Calibri" w:hAnsi="Calibri"/>
          <w:b/>
          <w:i w:val="0"/>
          <w:color w:val="1F4D78"/>
          <w:sz w:val="23"/>
        </w:rPr>
        <w:t xml:space="preserve">Key finding. </w:t>
      </w:r>
      <w:r>
        <w:rPr>
          <w:rFonts w:ascii="Calibri" w:hAnsi="Calibri"/>
          <w:b/>
          <w:i w:val="0"/>
          <w:color w:val="1C242D"/>
          <w:sz w:val="23"/>
        </w:rPr>
        <w:t>No material post-cutoff policy, regulatory, infrastructure, procurement, funding, partnership, investment, Google-operational, or provincial/local milestone was authenticated. The 32-minute interval was pre-business-hours in Pakistan, so publication lag materially limits the aggregate negative.</w:t>
      </w:r>
    </w:p>
    <w:p>
      <w:pPr>
        <w:pStyle w:val="Heading1"/>
      </w:pPr>
      <w:r>
        <w:t>1. Executive summary</w:t>
      </w:r>
    </w:p>
    <w:p>
      <w:pPr>
        <w:pStyle w:val="ListBullet"/>
      </w:pPr>
      <w:r>
        <w:rPr>
          <w:rFonts w:ascii="Calibri" w:hAnsi="Calibri"/>
          <w:b w:val="0"/>
          <w:i w:val="0"/>
          <w:color w:val="1C242D"/>
          <w:sz w:val="21"/>
        </w:rPr>
        <w:t>No new AI law or strategy-stage change: MoITT still lists the National AI Policy as Approved and the Data Governance Policy 2026 as Draft. No AI or horizontal personal-data act or new government bill appears in the National Assembly registers. Confidence: high on the displayed register state.</w:t>
      </w:r>
    </w:p>
    <w:p>
      <w:pPr>
        <w:pStyle w:val="ListBullet"/>
      </w:pPr>
      <w:r>
        <w:rPr>
          <w:rFonts w:ascii="Calibri" w:hAnsi="Calibri"/>
          <w:b w:val="0"/>
          <w:i w:val="0"/>
          <w:color w:val="1C242D"/>
          <w:sz w:val="21"/>
        </w:rPr>
        <w:t>No new data or cyber instrument: DNP’s visible suite remains DNP-X.001, DNP-D.002, DNP-D.250 and DNP-D.300; the canonical register remains at DNP-D.002 RA, Pilot. PKCERT remains at Advisory 17 and PVARA at its two 21 August sector rules. Confidence: high.</w:t>
      </w:r>
    </w:p>
    <w:p>
      <w:pPr>
        <w:pStyle w:val="ListBullet"/>
      </w:pPr>
      <w:r>
        <w:rPr>
          <w:rFonts w:ascii="Calibri" w:hAnsi="Calibri"/>
          <w:b w:val="0"/>
          <w:i w:val="0"/>
          <w:color w:val="1C242D"/>
          <w:sz w:val="21"/>
        </w:rPr>
        <w:t>No procurement-stage advancement: PPRA remains at 1,849 active/recent tenders, 2,783 evaluations and 541 contracts. NAAI hardware remains closed without a visible evaluation/award; AI Hubs and PTA’s AI-powered DIRBS remain pre-close. Confidence: high on visible registers.</w:t>
      </w:r>
    </w:p>
    <w:p>
      <w:pPr>
        <w:pStyle w:val="ListBullet"/>
      </w:pPr>
      <w:r>
        <w:rPr>
          <w:rFonts w:ascii="Calibri" w:hAnsi="Calibri"/>
          <w:b w:val="0"/>
          <w:i w:val="0"/>
          <w:color w:val="1C242D"/>
          <w:sz w:val="21"/>
        </w:rPr>
        <w:t>PITB’s HMIS hardware deadline is later today at 11:00 PKT; GPU-server bids close 31 August. The Government AI Cloud consultancy closed 24 August, but no evaluation, award, delivery or commissioning evidence was visible. Confidence: high on tender status; medium on the exhaustive downstream negative.</w:t>
      </w:r>
    </w:p>
    <w:p>
      <w:pPr>
        <w:pStyle w:val="ListBullet"/>
      </w:pPr>
      <w:r>
        <w:rPr>
          <w:rFonts w:ascii="Calibri" w:hAnsi="Calibri"/>
          <w:b w:val="0"/>
          <w:i w:val="0"/>
          <w:color w:val="1C242D"/>
          <w:sz w:val="21"/>
        </w:rPr>
        <w:t>No meaningful Google delta: Pakistan’s official sources support an 18 August Islamabad inauguration, but Google’s canonical office directory still does not list Pakistan/Islamabad or a street address. No local Cloud region, owned data centre, staffing figure or realised investment was authenticated. Confidence: high on directory state; medium on the operational characterization.</w:t>
      </w:r>
    </w:p>
    <w:p>
      <w:pPr>
        <w:pStyle w:val="ListBullet"/>
      </w:pPr>
      <w:r>
        <w:rPr>
          <w:rFonts w:ascii="Calibri" w:hAnsi="Calibri"/>
          <w:b w:val="0"/>
          <w:i w:val="0"/>
          <w:color w:val="1C242D"/>
          <w:sz w:val="21"/>
        </w:rPr>
        <w:t>The Emerging Technologies Data Centre and National AI Ecosystem Development Program remain CDWP-recommended for ECNEC consideration, not proven ECNEC-approved, funded, contracted or operational. The “surplus energy” statement remains an investment pitch, not facility-readiness evidence. Confidence: medium-high on project status; medium on energy readiness.</w:t>
      </w:r>
    </w:p>
    <w:p>
      <w:pPr>
        <w:pStyle w:val="Heading1"/>
      </w:pPr>
      <w:r>
        <w:t>2. Policy, regulation, and governance</w:t>
      </w:r>
    </w:p>
    <w:p>
      <w:pPr>
        <w:pStyle w:val="Heading2"/>
      </w:pPr>
      <w:r>
        <w:rPr>
          <w:rFonts w:ascii="Calibri" w:hAnsi="Calibri"/>
          <w:b/>
          <w:i w:val="0"/>
          <w:color w:val="2E74B5"/>
          <w:sz w:val="25"/>
        </w:rPr>
        <w:t>National AI Policy and Data Governance Policy</w:t>
      </w:r>
    </w:p>
    <w:p>
      <w:pPr>
        <w:spacing w:after="40"/>
      </w:pPr>
      <w:r>
        <w:rPr>
          <w:rFonts w:ascii="Calibri" w:hAnsi="Calibri"/>
          <w:b/>
          <w:i w:val="0"/>
          <w:color w:val="1C242D"/>
          <w:sz w:val="21"/>
        </w:rPr>
        <w:t xml:space="preserve">Development: </w:t>
      </w:r>
      <w:r>
        <w:rPr>
          <w:rFonts w:ascii="Calibri" w:hAnsi="Calibri"/>
          <w:b w:val="0"/>
          <w:i w:val="0"/>
          <w:color w:val="1C242D"/>
          <w:sz w:val="21"/>
        </w:rPr>
        <w:t>The National AI Policy remains listed as Approved; the Data Governance Policy 2026 remains listed as Draft.</w:t>
      </w:r>
    </w:p>
    <w:p>
      <w:pPr>
        <w:spacing w:after="40"/>
      </w:pPr>
      <w:r>
        <w:rPr>
          <w:rFonts w:ascii="Calibri" w:hAnsi="Calibri"/>
          <w:b/>
          <w:i w:val="0"/>
          <w:color w:val="1C242D"/>
          <w:sz w:val="21"/>
        </w:rPr>
        <w:t xml:space="preserve">Status: </w:t>
      </w:r>
      <w:r>
        <w:rPr>
          <w:rFonts w:ascii="Calibri" w:hAnsi="Calibri"/>
          <w:b w:val="0"/>
          <w:i w:val="0"/>
          <w:color w:val="1C242D"/>
          <w:sz w:val="21"/>
        </w:rPr>
        <w:t>Approved executive AI policy; draft data-governance policy. Neither status changed in this interval.</w:t>
      </w:r>
    </w:p>
    <w:p>
      <w:pPr>
        <w:spacing w:after="40"/>
      </w:pPr>
      <w:r>
        <w:rPr>
          <w:rFonts w:ascii="Calibri" w:hAnsi="Calibri"/>
          <w:b/>
          <w:i w:val="0"/>
          <w:color w:val="1C242D"/>
          <w:sz w:val="21"/>
        </w:rPr>
        <w:t xml:space="preserve">Institution/location: </w:t>
      </w:r>
      <w:r>
        <w:rPr>
          <w:rFonts w:ascii="Calibri" w:hAnsi="Calibri"/>
          <w:b w:val="0"/>
          <w:i w:val="0"/>
          <w:color w:val="1C242D"/>
          <w:sz w:val="21"/>
        </w:rPr>
        <w:t>Ministry of IT &amp; Telecommunication, Islamabad.</w:t>
      </w:r>
    </w:p>
    <w:p>
      <w:pPr>
        <w:spacing w:after="40"/>
      </w:pPr>
      <w:r>
        <w:rPr>
          <w:rFonts w:ascii="Calibri" w:hAnsi="Calibri"/>
          <w:b/>
          <w:i w:val="0"/>
          <w:color w:val="1C242D"/>
          <w:sz w:val="21"/>
        </w:rPr>
        <w:t xml:space="preserve">Evidence: </w:t>
      </w:r>
      <w:hyperlink r:id="rId11">
        <w:r>
          <w:rPr>
            <w:color w:val="2E74B5"/>
            <w:u w:val="single"/>
            <w:rFonts w:ascii="Calibri" w:hAnsi="Calibri"/>
            <w:sz w:val="19"/>
          </w:rPr>
          <w:t>MoITT policy register (live; inspected 26 August 2026)</w:t>
        </w:r>
      </w:hyperlink>
    </w:p>
    <w:p>
      <w:pPr>
        <w:spacing w:after="40"/>
      </w:pPr>
      <w:r>
        <w:rPr>
          <w:rFonts w:ascii="Calibri" w:hAnsi="Calibri"/>
          <w:b/>
          <w:i w:val="0"/>
          <w:color w:val="1C242D"/>
          <w:sz w:val="21"/>
        </w:rPr>
        <w:t xml:space="preserve">What changed: </w:t>
      </w:r>
      <w:r>
        <w:rPr>
          <w:rFonts w:ascii="Calibri" w:hAnsi="Calibri"/>
          <w:b w:val="0"/>
          <w:i w:val="0"/>
          <w:color w:val="1C242D"/>
          <w:sz w:val="21"/>
        </w:rPr>
        <w:t>No post-06:38 PKT change.</w:t>
      </w:r>
    </w:p>
    <w:p>
      <w:pPr>
        <w:spacing w:after="40"/>
      </w:pPr>
      <w:r>
        <w:rPr>
          <w:rFonts w:ascii="Calibri" w:hAnsi="Calibri"/>
          <w:b/>
          <w:i w:val="0"/>
          <w:color w:val="1C242D"/>
          <w:sz w:val="21"/>
        </w:rPr>
        <w:t xml:space="preserve">Why it matters: </w:t>
      </w:r>
      <w:r>
        <w:rPr>
          <w:rFonts w:ascii="Calibri" w:hAnsi="Calibri"/>
          <w:b w:val="0"/>
          <w:i w:val="0"/>
          <w:color w:val="1C242D"/>
          <w:sz w:val="21"/>
        </w:rPr>
        <w:t>Companies and public bodies should not treat AI-policy implementation commitments as statutory duties or the draft data policy as a final compliance baseline.</w:t>
      </w:r>
    </w:p>
    <w:p>
      <w:pPr>
        <w:spacing w:after="100"/>
      </w:pPr>
      <w:r>
        <w:rPr>
          <w:rFonts w:ascii="Calibri" w:hAnsi="Calibri"/>
          <w:b/>
          <w:i w:val="0"/>
          <w:color w:val="1C242D"/>
          <w:sz w:val="21"/>
        </w:rPr>
        <w:t xml:space="preserve">Confidence: </w:t>
      </w:r>
      <w:r>
        <w:rPr>
          <w:rFonts w:ascii="Calibri" w:hAnsi="Calibri"/>
          <w:b w:val="0"/>
          <w:i w:val="0"/>
          <w:color w:val="1C242D"/>
          <w:sz w:val="21"/>
        </w:rPr>
        <w:t>High.</w:t>
      </w:r>
    </w:p>
    <w:p>
      <w:pPr>
        <w:pStyle w:val="Heading2"/>
      </w:pPr>
      <w:r>
        <w:rPr>
          <w:rFonts w:ascii="Calibri" w:hAnsi="Calibri"/>
          <w:b/>
          <w:i w:val="0"/>
          <w:color w:val="2E74B5"/>
          <w:sz w:val="25"/>
        </w:rPr>
        <w:t>Federal AI and personal-data legislation</w:t>
      </w:r>
    </w:p>
    <w:p>
      <w:pPr>
        <w:spacing w:after="40"/>
      </w:pPr>
      <w:r>
        <w:rPr>
          <w:rFonts w:ascii="Calibri" w:hAnsi="Calibri"/>
          <w:b/>
          <w:i w:val="0"/>
          <w:color w:val="1C242D"/>
          <w:sz w:val="21"/>
        </w:rPr>
        <w:t xml:space="preserve">Development: </w:t>
      </w:r>
      <w:r>
        <w:rPr>
          <w:rFonts w:ascii="Calibri" w:hAnsi="Calibri"/>
          <w:b w:val="0"/>
          <w:i w:val="0"/>
          <w:color w:val="1C242D"/>
          <w:sz w:val="21"/>
        </w:rPr>
        <w:t>The Acts register still has no AI act or horizontal personal-data act; the government-bills register contains no new AI, personal-data or generally applicable cyber bill.</w:t>
      </w:r>
    </w:p>
    <w:p>
      <w:pPr>
        <w:spacing w:after="40"/>
      </w:pPr>
      <w:r>
        <w:rPr>
          <w:rFonts w:ascii="Calibri" w:hAnsi="Calibri"/>
          <w:b/>
          <w:i w:val="0"/>
          <w:color w:val="1C242D"/>
          <w:sz w:val="21"/>
        </w:rPr>
        <w:t xml:space="preserve">Status: </w:t>
      </w:r>
      <w:r>
        <w:rPr>
          <w:rFonts w:ascii="Calibri" w:hAnsi="Calibri"/>
          <w:b w:val="0"/>
          <w:i w:val="0"/>
          <w:color w:val="1C242D"/>
          <w:sz w:val="21"/>
        </w:rPr>
        <w:t>No enacted or newly introduced federal measure authenticated.</w:t>
      </w:r>
    </w:p>
    <w:p>
      <w:pPr>
        <w:spacing w:after="40"/>
      </w:pPr>
      <w:r>
        <w:rPr>
          <w:rFonts w:ascii="Calibri" w:hAnsi="Calibri"/>
          <w:b/>
          <w:i w:val="0"/>
          <w:color w:val="1C242D"/>
          <w:sz w:val="21"/>
        </w:rPr>
        <w:t xml:space="preserve">Institution/location: </w:t>
      </w:r>
      <w:r>
        <w:rPr>
          <w:rFonts w:ascii="Calibri" w:hAnsi="Calibri"/>
          <w:b w:val="0"/>
          <w:i w:val="0"/>
          <w:color w:val="1C242D"/>
          <w:sz w:val="21"/>
        </w:rPr>
        <w:t>National Assembly of Pakistan.</w:t>
      </w:r>
    </w:p>
    <w:p>
      <w:pPr>
        <w:spacing w:after="40"/>
      </w:pPr>
      <w:r>
        <w:rPr>
          <w:rFonts w:ascii="Calibri" w:hAnsi="Calibri"/>
          <w:b/>
          <w:i w:val="0"/>
          <w:color w:val="1C242D"/>
          <w:sz w:val="21"/>
        </w:rPr>
        <w:t xml:space="preserve">Evidence: </w:t>
      </w:r>
      <w:hyperlink r:id="rId12">
        <w:r>
          <w:rPr>
            <w:color w:val="2E74B5"/>
            <w:u w:val="single"/>
            <w:rFonts w:ascii="Calibri" w:hAnsi="Calibri"/>
            <w:sz w:val="19"/>
          </w:rPr>
          <w:t>Acts of Parliament (last updated 25 August 2026, 17:43)</w:t>
        </w:r>
      </w:hyperlink>
    </w:p>
    <w:p>
      <w:pPr>
        <w:spacing w:after="40"/>
      </w:pPr>
      <w:r>
        <w:rPr>
          <w:rFonts w:ascii="Calibri" w:hAnsi="Calibri"/>
          <w:b/>
          <w:i w:val="0"/>
          <w:color w:val="1C242D"/>
          <w:sz w:val="21"/>
        </w:rPr>
        <w:t xml:space="preserve">What changed: </w:t>
      </w:r>
      <w:r>
        <w:rPr>
          <w:rFonts w:ascii="Calibri" w:hAnsi="Calibri"/>
          <w:b w:val="0"/>
          <w:i w:val="0"/>
          <w:color w:val="1C242D"/>
          <w:sz w:val="21"/>
        </w:rPr>
        <w:t>No register change after the prior briefing.</w:t>
      </w:r>
    </w:p>
    <w:p>
      <w:pPr>
        <w:spacing w:after="40"/>
      </w:pPr>
      <w:r>
        <w:rPr>
          <w:rFonts w:ascii="Calibri" w:hAnsi="Calibri"/>
          <w:b/>
          <w:i w:val="0"/>
          <w:color w:val="1C242D"/>
          <w:sz w:val="21"/>
        </w:rPr>
        <w:t xml:space="preserve">Why it matters: </w:t>
      </w:r>
      <w:r>
        <w:rPr>
          <w:rFonts w:ascii="Calibri" w:hAnsi="Calibri"/>
          <w:b w:val="0"/>
          <w:i w:val="0"/>
          <w:color w:val="1C242D"/>
          <w:sz w:val="21"/>
        </w:rPr>
        <w:t>There is no evidence basis to say Pakistan has enacted a comprehensive Personal Data Protection Act or an AI statute. Gazette and indexing lag remain a residual caveat.</w:t>
      </w:r>
    </w:p>
    <w:p>
      <w:pPr>
        <w:spacing w:after="100"/>
      </w:pPr>
      <w:r>
        <w:rPr>
          <w:rFonts w:ascii="Calibri" w:hAnsi="Calibri"/>
          <w:b/>
          <w:i w:val="0"/>
          <w:color w:val="1C242D"/>
          <w:sz w:val="21"/>
        </w:rPr>
        <w:t xml:space="preserve">Confidence: </w:t>
      </w:r>
      <w:r>
        <w:rPr>
          <w:rFonts w:ascii="Calibri" w:hAnsi="Calibri"/>
          <w:b w:val="0"/>
          <w:i w:val="0"/>
          <w:color w:val="1C242D"/>
          <w:sz w:val="21"/>
        </w:rPr>
        <w:t>High on the registers; medium on same-night publication completeness.</w:t>
      </w:r>
    </w:p>
    <w:p>
      <w:pPr>
        <w:pStyle w:val="Heading1"/>
      </w:pPr>
      <w:r>
        <w:t>3. Data regulation, digital policy, and cybersecurity</w:t>
      </w:r>
    </w:p>
    <w:p>
      <w:pPr>
        <w:pStyle w:val="Heading2"/>
      </w:pPr>
      <w:r>
        <w:rPr>
          <w:rFonts w:ascii="Calibri" w:hAnsi="Calibri"/>
          <w:b/>
          <w:i w:val="0"/>
          <w:color w:val="2E74B5"/>
          <w:sz w:val="25"/>
        </w:rPr>
        <w:t>WASL and Digital Nation Pakistan standards</w:t>
      </w:r>
    </w:p>
    <w:p>
      <w:pPr>
        <w:spacing w:after="40"/>
      </w:pPr>
      <w:r>
        <w:rPr>
          <w:rFonts w:ascii="Calibri" w:hAnsi="Calibri"/>
          <w:b/>
          <w:i w:val="0"/>
          <w:color w:val="1C242D"/>
          <w:sz w:val="21"/>
        </w:rPr>
        <w:t xml:space="preserve">Development: </w:t>
      </w:r>
      <w:r>
        <w:rPr>
          <w:rFonts w:ascii="Calibri" w:hAnsi="Calibri"/>
          <w:b w:val="0"/>
          <w:i w:val="0"/>
          <w:color w:val="1C242D"/>
          <w:sz w:val="21"/>
        </w:rPr>
        <w:t>The DNP homepage still displays DNP-X.001, DNP-D.002, DNP-D.250 and DNP-D.300. The canonical Publications Register remains at DNP-D.002 RA, maturity Pilot.</w:t>
      </w:r>
    </w:p>
    <w:p>
      <w:pPr>
        <w:spacing w:after="40"/>
      </w:pPr>
      <w:r>
        <w:rPr>
          <w:rFonts w:ascii="Calibri" w:hAnsi="Calibri"/>
          <w:b/>
          <w:i w:val="0"/>
          <w:color w:val="1C242D"/>
          <w:sz w:val="21"/>
        </w:rPr>
        <w:t xml:space="preserve">Status: </w:t>
      </w:r>
      <w:r>
        <w:rPr>
          <w:rFonts w:ascii="Calibri" w:hAnsi="Calibri"/>
          <w:b w:val="0"/>
          <w:i w:val="0"/>
          <w:color w:val="1C242D"/>
          <w:sz w:val="21"/>
        </w:rPr>
        <w:t>Published pilot reference architecture; consent guideline and technical specification should not be generalized into a horizontal privacy statute.</w:t>
      </w:r>
    </w:p>
    <w:p>
      <w:pPr>
        <w:spacing w:after="40"/>
      </w:pPr>
      <w:r>
        <w:rPr>
          <w:rFonts w:ascii="Calibri" w:hAnsi="Calibri"/>
          <w:b/>
          <w:i w:val="0"/>
          <w:color w:val="1C242D"/>
          <w:sz w:val="21"/>
        </w:rPr>
        <w:t xml:space="preserve">Institution/location: </w:t>
      </w:r>
      <w:r>
        <w:rPr>
          <w:rFonts w:ascii="Calibri" w:hAnsi="Calibri"/>
          <w:b w:val="0"/>
          <w:i w:val="0"/>
          <w:color w:val="1C242D"/>
          <w:sz w:val="21"/>
        </w:rPr>
        <w:t>Pakistan Digital Authority / Digital Nation Pakistan.</w:t>
      </w:r>
    </w:p>
    <w:p>
      <w:pPr>
        <w:spacing w:after="40"/>
      </w:pPr>
      <w:r>
        <w:rPr>
          <w:rFonts w:ascii="Calibri" w:hAnsi="Calibri"/>
          <w:b/>
          <w:i w:val="0"/>
          <w:color w:val="1C242D"/>
          <w:sz w:val="21"/>
        </w:rPr>
        <w:t xml:space="preserve">Evidence: </w:t>
      </w:r>
      <w:hyperlink r:id="rId13">
        <w:r>
          <w:rPr>
            <w:color w:val="2E74B5"/>
            <w:u w:val="single"/>
            <w:rFonts w:ascii="Calibri" w:hAnsi="Calibri"/>
            <w:sz w:val="19"/>
          </w:rPr>
          <w:t>DNP standards portal (live; inspected 26 August 2026)</w:t>
        </w:r>
      </w:hyperlink>
    </w:p>
    <w:p>
      <w:pPr>
        <w:spacing w:after="40"/>
      </w:pPr>
      <w:r>
        <w:rPr>
          <w:rFonts w:ascii="Calibri" w:hAnsi="Calibri"/>
          <w:b/>
          <w:i w:val="0"/>
          <w:color w:val="1C242D"/>
          <w:sz w:val="21"/>
        </w:rPr>
        <w:t xml:space="preserve">What changed: </w:t>
      </w:r>
      <w:r>
        <w:rPr>
          <w:rFonts w:ascii="Calibri" w:hAnsi="Calibri"/>
          <w:b w:val="0"/>
          <w:i w:val="0"/>
          <w:color w:val="1C242D"/>
          <w:sz w:val="21"/>
        </w:rPr>
        <w:t>No new publication, maturity or status change.</w:t>
      </w:r>
    </w:p>
    <w:p>
      <w:pPr>
        <w:spacing w:after="40"/>
      </w:pPr>
      <w:r>
        <w:rPr>
          <w:rFonts w:ascii="Calibri" w:hAnsi="Calibri"/>
          <w:b/>
          <w:i w:val="0"/>
          <w:color w:val="1C242D"/>
          <w:sz w:val="21"/>
        </w:rPr>
        <w:t xml:space="preserve">Why it matters: </w:t>
      </w:r>
      <w:r>
        <w:rPr>
          <w:rFonts w:ascii="Calibri" w:hAnsi="Calibri"/>
          <w:b w:val="0"/>
          <w:i w:val="0"/>
          <w:color w:val="1C242D"/>
          <w:sz w:val="21"/>
        </w:rPr>
        <w:t>Public bodies integrating with WASL should track consent, exchange, interoperability and conformance requirements, while investors and vendors should distinguish technical architecture from binding cross-economy privacy law.</w:t>
      </w:r>
    </w:p>
    <w:p>
      <w:pPr>
        <w:spacing w:after="100"/>
      </w:pPr>
      <w:r>
        <w:rPr>
          <w:rFonts w:ascii="Calibri" w:hAnsi="Calibri"/>
          <w:b/>
          <w:i w:val="0"/>
          <w:color w:val="1C242D"/>
          <w:sz w:val="21"/>
        </w:rPr>
        <w:t xml:space="preserve">Confidence: </w:t>
      </w:r>
      <w:r>
        <w:rPr>
          <w:rFonts w:ascii="Calibri" w:hAnsi="Calibri"/>
          <w:b w:val="0"/>
          <w:i w:val="0"/>
          <w:color w:val="1C242D"/>
          <w:sz w:val="21"/>
        </w:rPr>
        <w:t>High.</w:t>
      </w:r>
    </w:p>
    <w:p>
      <w:pPr>
        <w:pStyle w:val="Heading2"/>
      </w:pPr>
      <w:r>
        <w:rPr>
          <w:rFonts w:ascii="Calibri" w:hAnsi="Calibri"/>
          <w:b/>
          <w:i w:val="0"/>
          <w:color w:val="2E74B5"/>
          <w:sz w:val="25"/>
        </w:rPr>
        <w:t>National Data Governance Policy finalisation</w:t>
      </w:r>
    </w:p>
    <w:p>
      <w:pPr>
        <w:spacing w:after="40"/>
      </w:pPr>
      <w:r>
        <w:rPr>
          <w:rFonts w:ascii="Calibri" w:hAnsi="Calibri"/>
          <w:b/>
          <w:i w:val="0"/>
          <w:color w:val="1C242D"/>
          <w:sz w:val="21"/>
        </w:rPr>
        <w:t xml:space="preserve">Development: </w:t>
      </w:r>
      <w:r>
        <w:rPr>
          <w:rFonts w:ascii="Calibri" w:hAnsi="Calibri"/>
          <w:b w:val="0"/>
          <w:i w:val="0"/>
          <w:color w:val="1C242D"/>
          <w:sz w:val="21"/>
        </w:rPr>
        <w:t>PDA’s 5 August consultation notice says consultations concluded and feedback would be incorporated before finalisation; MoITT still labels the policy Draft.</w:t>
      </w:r>
    </w:p>
    <w:p>
      <w:pPr>
        <w:spacing w:after="40"/>
      </w:pPr>
      <w:r>
        <w:rPr>
          <w:rFonts w:ascii="Calibri" w:hAnsi="Calibri"/>
          <w:b/>
          <w:i w:val="0"/>
          <w:color w:val="1C242D"/>
          <w:sz w:val="21"/>
        </w:rPr>
        <w:t xml:space="preserve">Status: </w:t>
      </w:r>
      <w:r>
        <w:rPr>
          <w:rFonts w:ascii="Calibri" w:hAnsi="Calibri"/>
          <w:b w:val="0"/>
          <w:i w:val="0"/>
          <w:color w:val="1C242D"/>
          <w:sz w:val="21"/>
        </w:rPr>
        <w:t>Draft/finalisation-stage, not approved or in force.</w:t>
      </w:r>
    </w:p>
    <w:p>
      <w:pPr>
        <w:spacing w:after="40"/>
      </w:pPr>
      <w:r>
        <w:rPr>
          <w:rFonts w:ascii="Calibri" w:hAnsi="Calibri"/>
          <w:b/>
          <w:i w:val="0"/>
          <w:color w:val="1C242D"/>
          <w:sz w:val="21"/>
        </w:rPr>
        <w:t xml:space="preserve">Institution/location: </w:t>
      </w:r>
      <w:r>
        <w:rPr>
          <w:rFonts w:ascii="Calibri" w:hAnsi="Calibri"/>
          <w:b w:val="0"/>
          <w:i w:val="0"/>
          <w:color w:val="1C242D"/>
          <w:sz w:val="21"/>
        </w:rPr>
        <w:t>Pakistan Digital Authority and MoITT, Islamabad.</w:t>
      </w:r>
    </w:p>
    <w:p>
      <w:pPr>
        <w:spacing w:after="40"/>
      </w:pPr>
      <w:r>
        <w:rPr>
          <w:rFonts w:ascii="Calibri" w:hAnsi="Calibri"/>
          <w:b/>
          <w:i w:val="0"/>
          <w:color w:val="1C242D"/>
          <w:sz w:val="21"/>
        </w:rPr>
        <w:t xml:space="preserve">Evidence: </w:t>
      </w:r>
      <w:hyperlink r:id="rId14">
        <w:r>
          <w:rPr>
            <w:color w:val="2E74B5"/>
            <w:u w:val="single"/>
            <w:rFonts w:ascii="Calibri" w:hAnsi="Calibri"/>
            <w:sz w:val="19"/>
          </w:rPr>
          <w:t>PDA consultation notice (5 August 2026)</w:t>
        </w:r>
      </w:hyperlink>
    </w:p>
    <w:p>
      <w:pPr>
        <w:spacing w:after="40"/>
      </w:pPr>
      <w:r>
        <w:rPr>
          <w:rFonts w:ascii="Calibri" w:hAnsi="Calibri"/>
          <w:b/>
          <w:i w:val="0"/>
          <w:color w:val="1C242D"/>
          <w:sz w:val="21"/>
        </w:rPr>
        <w:t xml:space="preserve">What changed: </w:t>
      </w:r>
      <w:r>
        <w:rPr>
          <w:rFonts w:ascii="Calibri" w:hAnsi="Calibri"/>
          <w:b w:val="0"/>
          <w:i w:val="0"/>
          <w:color w:val="1C242D"/>
          <w:sz w:val="21"/>
        </w:rPr>
        <w:t>No final policy or approval notice appeared.</w:t>
      </w:r>
    </w:p>
    <w:p>
      <w:pPr>
        <w:spacing w:after="40"/>
      </w:pPr>
      <w:r>
        <w:rPr>
          <w:rFonts w:ascii="Calibri" w:hAnsi="Calibri"/>
          <w:b/>
          <w:i w:val="0"/>
          <w:color w:val="1C242D"/>
          <w:sz w:val="21"/>
        </w:rPr>
        <w:t xml:space="preserve">Why it matters: </w:t>
      </w:r>
      <w:r>
        <w:rPr>
          <w:rFonts w:ascii="Calibri" w:hAnsi="Calibri"/>
          <w:b w:val="0"/>
          <w:i w:val="0"/>
          <w:color w:val="1C242D"/>
          <w:sz w:val="21"/>
        </w:rPr>
        <w:t>Government-data classification, sharing, stewardship and accountability duties remain unsettled. Companies supplying public-sector data systems should preserve contractual flexibility pending final text.</w:t>
      </w:r>
    </w:p>
    <w:p>
      <w:pPr>
        <w:spacing w:after="100"/>
      </w:pPr>
      <w:r>
        <w:rPr>
          <w:rFonts w:ascii="Calibri" w:hAnsi="Calibri"/>
          <w:b/>
          <w:i w:val="0"/>
          <w:color w:val="1C242D"/>
          <w:sz w:val="21"/>
        </w:rPr>
        <w:t xml:space="preserve">Confidence: </w:t>
      </w:r>
      <w:r>
        <w:rPr>
          <w:rFonts w:ascii="Calibri" w:hAnsi="Calibri"/>
          <w:b w:val="0"/>
          <w:i w:val="0"/>
          <w:color w:val="1C242D"/>
          <w:sz w:val="21"/>
        </w:rPr>
        <w:t>High.</w:t>
      </w:r>
    </w:p>
    <w:p>
      <w:pPr>
        <w:pStyle w:val="Heading2"/>
      </w:pPr>
      <w:r>
        <w:rPr>
          <w:rFonts w:ascii="Calibri" w:hAnsi="Calibri"/>
          <w:b/>
          <w:i w:val="0"/>
          <w:color w:val="2E74B5"/>
          <w:sz w:val="25"/>
        </w:rPr>
        <w:t>Cyber advisories and sectoral virtual-asset rules</w:t>
      </w:r>
    </w:p>
    <w:p>
      <w:pPr>
        <w:spacing w:after="40"/>
      </w:pPr>
      <w:r>
        <w:rPr>
          <w:rFonts w:ascii="Calibri" w:hAnsi="Calibri"/>
          <w:b/>
          <w:i w:val="0"/>
          <w:color w:val="1C242D"/>
          <w:sz w:val="21"/>
        </w:rPr>
        <w:t xml:space="preserve">Development: </w:t>
      </w:r>
      <w:r>
        <w:rPr>
          <w:rFonts w:ascii="Calibri" w:hAnsi="Calibri"/>
          <w:b w:val="0"/>
          <w:i w:val="0"/>
          <w:color w:val="1C242D"/>
          <w:sz w:val="21"/>
        </w:rPr>
        <w:t>PKCERT’s 2026 list remains at Advisory 17. PVARA’s regulations page remains at SRO 1419(I)/2026 and SRO 1420(I)/2026, both notified 21 August.</w:t>
      </w:r>
    </w:p>
    <w:p>
      <w:pPr>
        <w:spacing w:after="40"/>
      </w:pPr>
      <w:r>
        <w:rPr>
          <w:rFonts w:ascii="Calibri" w:hAnsi="Calibri"/>
          <w:b/>
          <w:i w:val="0"/>
          <w:color w:val="1C242D"/>
          <w:sz w:val="21"/>
        </w:rPr>
        <w:t xml:space="preserve">Status: </w:t>
      </w:r>
      <w:r>
        <w:rPr>
          <w:rFonts w:ascii="Calibri" w:hAnsi="Calibri"/>
          <w:b w:val="0"/>
          <w:i w:val="0"/>
          <w:color w:val="1C242D"/>
          <w:sz w:val="21"/>
        </w:rPr>
        <w:t>Operational cyber advisory; notified virtual-asset-sector regulations. No new generally applicable cyber rule.</w:t>
      </w:r>
    </w:p>
    <w:p>
      <w:pPr>
        <w:spacing w:after="40"/>
      </w:pPr>
      <w:r>
        <w:rPr>
          <w:rFonts w:ascii="Calibri" w:hAnsi="Calibri"/>
          <w:b/>
          <w:i w:val="0"/>
          <w:color w:val="1C242D"/>
          <w:sz w:val="21"/>
        </w:rPr>
        <w:t xml:space="preserve">Institution/location: </w:t>
      </w:r>
      <w:r>
        <w:rPr>
          <w:rFonts w:ascii="Calibri" w:hAnsi="Calibri"/>
          <w:b w:val="0"/>
          <w:i w:val="0"/>
          <w:color w:val="1C242D"/>
          <w:sz w:val="21"/>
        </w:rPr>
        <w:t>PKCERT and Pakistan Virtual Assets Regulatory Authority.</w:t>
      </w:r>
    </w:p>
    <w:p>
      <w:pPr>
        <w:spacing w:after="40"/>
      </w:pPr>
      <w:r>
        <w:rPr>
          <w:rFonts w:ascii="Calibri" w:hAnsi="Calibri"/>
          <w:b/>
          <w:i w:val="0"/>
          <w:color w:val="1C242D"/>
          <w:sz w:val="21"/>
        </w:rPr>
        <w:t xml:space="preserve">Evidence: </w:t>
      </w:r>
      <w:hyperlink r:id="rId15">
        <w:r>
          <w:rPr>
            <w:color w:val="2E74B5"/>
            <w:u w:val="single"/>
            <w:rFonts w:ascii="Calibri" w:hAnsi="Calibri"/>
            <w:sz w:val="19"/>
          </w:rPr>
          <w:t>PKCERT advisories (live; inspected 26 August 2026)</w:t>
        </w:r>
      </w:hyperlink>
    </w:p>
    <w:p>
      <w:pPr>
        <w:spacing w:after="40"/>
      </w:pPr>
      <w:r>
        <w:rPr>
          <w:rFonts w:ascii="Calibri" w:hAnsi="Calibri"/>
          <w:b/>
          <w:i w:val="0"/>
          <w:color w:val="1C242D"/>
          <w:sz w:val="21"/>
        </w:rPr>
        <w:t xml:space="preserve">What changed: </w:t>
      </w:r>
      <w:r>
        <w:rPr>
          <w:rFonts w:ascii="Calibri" w:hAnsi="Calibri"/>
          <w:b w:val="0"/>
          <w:i w:val="0"/>
          <w:color w:val="1C242D"/>
          <w:sz w:val="21"/>
        </w:rPr>
        <w:t>No Advisory 18 and no new PVARA rule/circular.</w:t>
      </w:r>
    </w:p>
    <w:p>
      <w:pPr>
        <w:spacing w:after="40"/>
      </w:pPr>
      <w:r>
        <w:rPr>
          <w:rFonts w:ascii="Calibri" w:hAnsi="Calibri"/>
          <w:b/>
          <w:i w:val="0"/>
          <w:color w:val="1C242D"/>
          <w:sz w:val="21"/>
        </w:rPr>
        <w:t xml:space="preserve">Why it matters: </w:t>
      </w:r>
      <w:r>
        <w:rPr>
          <w:rFonts w:ascii="Calibri" w:hAnsi="Calibri"/>
          <w:b w:val="0"/>
          <w:i w:val="0"/>
          <w:color w:val="1C242D"/>
          <w:sz w:val="21"/>
        </w:rPr>
        <w:t>VASP duties on monitoring, records, security and personal data remain sector-specific. They should not be presented as Pakistan’s horizontal privacy framework.</w:t>
      </w:r>
    </w:p>
    <w:p>
      <w:pPr>
        <w:spacing w:after="100"/>
      </w:pPr>
      <w:r>
        <w:rPr>
          <w:rFonts w:ascii="Calibri" w:hAnsi="Calibri"/>
          <w:b/>
          <w:i w:val="0"/>
          <w:color w:val="1C242D"/>
          <w:sz w:val="21"/>
        </w:rPr>
        <w:t xml:space="preserve">Confidence: </w:t>
      </w:r>
      <w:r>
        <w:rPr>
          <w:rFonts w:ascii="Calibri" w:hAnsi="Calibri"/>
          <w:b w:val="0"/>
          <w:i w:val="0"/>
          <w:color w:val="1C242D"/>
          <w:sz w:val="21"/>
        </w:rPr>
        <w:t>High.</w:t>
      </w:r>
    </w:p>
    <w:p>
      <w:pPr>
        <w:pStyle w:val="Heading1"/>
      </w:pPr>
      <w:r>
        <w:t>5. AI and digital infrastructure</w:t>
      </w:r>
    </w:p>
    <w:p>
      <w:pPr>
        <w:pStyle w:val="Heading2"/>
      </w:pPr>
      <w:r>
        <w:rPr>
          <w:rFonts w:ascii="Calibri" w:hAnsi="Calibri"/>
          <w:b/>
          <w:i w:val="0"/>
          <w:color w:val="2E74B5"/>
          <w:sz w:val="25"/>
        </w:rPr>
        <w:t>Emerging Technologies Data Centre and NAIEDP</w:t>
      </w:r>
    </w:p>
    <w:p>
      <w:pPr>
        <w:spacing w:after="40"/>
      </w:pPr>
      <w:r>
        <w:rPr>
          <w:rFonts w:ascii="Calibri" w:hAnsi="Calibri"/>
          <w:b/>
          <w:i w:val="0"/>
          <w:color w:val="1C242D"/>
          <w:sz w:val="21"/>
        </w:rPr>
        <w:t xml:space="preserve">Development: </w:t>
      </w:r>
      <w:r>
        <w:rPr>
          <w:rFonts w:ascii="Calibri" w:hAnsi="Calibri"/>
          <w:b w:val="0"/>
          <w:i w:val="0"/>
          <w:color w:val="1C242D"/>
          <w:sz w:val="21"/>
        </w:rPr>
        <w:t>CDWP previously recommended the Rs7.93 billion Emerging Technologies Data Centre and Rs13 billion National AI Ecosystem Development Program to ECNEC for further consideration.</w:t>
      </w:r>
    </w:p>
    <w:p>
      <w:pPr>
        <w:spacing w:after="40"/>
      </w:pPr>
      <w:r>
        <w:rPr>
          <w:rFonts w:ascii="Calibri" w:hAnsi="Calibri"/>
          <w:b/>
          <w:i w:val="0"/>
          <w:color w:val="1C242D"/>
          <w:sz w:val="21"/>
        </w:rPr>
        <w:t xml:space="preserve">Status: </w:t>
      </w:r>
      <w:r>
        <w:rPr>
          <w:rFonts w:ascii="Calibri" w:hAnsi="Calibri"/>
          <w:b w:val="0"/>
          <w:i w:val="0"/>
          <w:color w:val="1C242D"/>
          <w:sz w:val="21"/>
        </w:rPr>
        <w:t>CDWP in-principle/recommended; ECNEC approval, funding release, contracting, build and operations not authenticated.</w:t>
      </w:r>
    </w:p>
    <w:p>
      <w:pPr>
        <w:spacing w:after="40"/>
      </w:pPr>
      <w:r>
        <w:rPr>
          <w:rFonts w:ascii="Calibri" w:hAnsi="Calibri"/>
          <w:b/>
          <w:i w:val="0"/>
          <w:color w:val="1C242D"/>
          <w:sz w:val="21"/>
        </w:rPr>
        <w:t xml:space="preserve">Institution/location: </w:t>
      </w:r>
      <w:r>
        <w:rPr>
          <w:rFonts w:ascii="Calibri" w:hAnsi="Calibri"/>
          <w:b w:val="0"/>
          <w:i w:val="0"/>
          <w:color w:val="1C242D"/>
          <w:sz w:val="21"/>
        </w:rPr>
        <w:t>Planning Commission / MoITT; proposed federal infrastructure.</w:t>
      </w:r>
    </w:p>
    <w:p>
      <w:pPr>
        <w:spacing w:after="40"/>
      </w:pPr>
      <w:r>
        <w:rPr>
          <w:rFonts w:ascii="Calibri" w:hAnsi="Calibri"/>
          <w:b/>
          <w:i w:val="0"/>
          <w:color w:val="1C242D"/>
          <w:sz w:val="21"/>
        </w:rPr>
        <w:t xml:space="preserve">Evidence: </w:t>
      </w:r>
      <w:hyperlink r:id="rId16">
        <w:r>
          <w:rPr>
            <w:color w:val="2E74B5"/>
            <w:u w:val="single"/>
            <w:rFonts w:ascii="Calibri" w:hAnsi="Calibri"/>
            <w:sz w:val="19"/>
          </w:rPr>
          <w:t>Planning Commission release (25 June 2026)</w:t>
        </w:r>
      </w:hyperlink>
    </w:p>
    <w:p>
      <w:pPr>
        <w:spacing w:after="40"/>
      </w:pPr>
      <w:r>
        <w:rPr>
          <w:rFonts w:ascii="Calibri" w:hAnsi="Calibri"/>
          <w:b/>
          <w:i w:val="0"/>
          <w:color w:val="1C242D"/>
          <w:sz w:val="21"/>
        </w:rPr>
        <w:t xml:space="preserve">What changed: </w:t>
      </w:r>
      <w:r>
        <w:rPr>
          <w:rFonts w:ascii="Calibri" w:hAnsi="Calibri"/>
          <w:b w:val="0"/>
          <w:i w:val="0"/>
          <w:color w:val="1C242D"/>
          <w:sz w:val="21"/>
        </w:rPr>
        <w:t>No post-cutoff approval or implementation milestone.</w:t>
      </w:r>
    </w:p>
    <w:p>
      <w:pPr>
        <w:spacing w:after="40"/>
      </w:pPr>
      <w:r>
        <w:rPr>
          <w:rFonts w:ascii="Calibri" w:hAnsi="Calibri"/>
          <w:b/>
          <w:i w:val="0"/>
          <w:color w:val="1C242D"/>
          <w:sz w:val="21"/>
        </w:rPr>
        <w:t xml:space="preserve">Why it matters: </w:t>
      </w:r>
      <w:r>
        <w:rPr>
          <w:rFonts w:ascii="Calibri" w:hAnsi="Calibri"/>
          <w:b w:val="0"/>
          <w:i w:val="0"/>
          <w:color w:val="1C242D"/>
          <w:sz w:val="21"/>
        </w:rPr>
        <w:t>The projects could materially expand sovereign AI/HPC capacity, but their current stage does not support claims of available compute or committed delivery dates.</w:t>
      </w:r>
    </w:p>
    <w:p>
      <w:pPr>
        <w:spacing w:after="100"/>
      </w:pPr>
      <w:r>
        <w:rPr>
          <w:rFonts w:ascii="Calibri" w:hAnsi="Calibri"/>
          <w:b/>
          <w:i w:val="0"/>
          <w:color w:val="1C242D"/>
          <w:sz w:val="21"/>
        </w:rPr>
        <w:t xml:space="preserve">Confidence: </w:t>
      </w:r>
      <w:r>
        <w:rPr>
          <w:rFonts w:ascii="Calibri" w:hAnsi="Calibri"/>
          <w:b w:val="0"/>
          <w:i w:val="0"/>
          <w:color w:val="1C242D"/>
          <w:sz w:val="21"/>
        </w:rPr>
        <w:t>Medium-high.</w:t>
      </w:r>
    </w:p>
    <w:p>
      <w:pPr>
        <w:pStyle w:val="Heading2"/>
      </w:pPr>
      <w:r>
        <w:rPr>
          <w:rFonts w:ascii="Calibri" w:hAnsi="Calibri"/>
          <w:b/>
          <w:i w:val="0"/>
          <w:color w:val="2E74B5"/>
          <w:sz w:val="25"/>
        </w:rPr>
        <w:t>Connectivity and energy dependencies</w:t>
      </w:r>
    </w:p>
    <w:p>
      <w:pPr>
        <w:spacing w:after="40"/>
      </w:pPr>
      <w:r>
        <w:rPr>
          <w:rFonts w:ascii="Calibri" w:hAnsi="Calibri"/>
          <w:b/>
          <w:i w:val="0"/>
          <w:color w:val="1C242D"/>
          <w:sz w:val="21"/>
        </w:rPr>
        <w:t xml:space="preserve">Development: </w:t>
      </w:r>
      <w:r>
        <w:rPr>
          <w:rFonts w:ascii="Calibri" w:hAnsi="Calibri"/>
          <w:b w:val="0"/>
          <w:i w:val="0"/>
          <w:color w:val="1C242D"/>
          <w:sz w:val="21"/>
        </w:rPr>
        <w:t>No new facility-level evidence appeared for sanctioned electrical load, dual feeds, tariff/PPA, backup autonomy, cooling/water, PUE/WUE, certification, acceptance or commissioning.</w:t>
      </w:r>
    </w:p>
    <w:p>
      <w:pPr>
        <w:spacing w:after="40"/>
      </w:pPr>
      <w:r>
        <w:rPr>
          <w:rFonts w:ascii="Calibri" w:hAnsi="Calibri"/>
          <w:b/>
          <w:i w:val="0"/>
          <w:color w:val="1C242D"/>
          <w:sz w:val="21"/>
        </w:rPr>
        <w:t xml:space="preserve">Status: </w:t>
      </w:r>
      <w:r>
        <w:rPr>
          <w:rFonts w:ascii="Calibri" w:hAnsi="Calibri"/>
          <w:b w:val="0"/>
          <w:i w:val="0"/>
          <w:color w:val="1C242D"/>
          <w:sz w:val="21"/>
        </w:rPr>
        <w:t>Not evidenced at facility level. A ministerial surplus-energy statement remains an attributed investment claim.</w:t>
      </w:r>
    </w:p>
    <w:p>
      <w:pPr>
        <w:spacing w:after="40"/>
      </w:pPr>
      <w:r>
        <w:rPr>
          <w:rFonts w:ascii="Calibri" w:hAnsi="Calibri"/>
          <w:b/>
          <w:i w:val="0"/>
          <w:color w:val="1C242D"/>
          <w:sz w:val="21"/>
        </w:rPr>
        <w:t xml:space="preserve">Institution/location: </w:t>
      </w:r>
      <w:r>
        <w:rPr>
          <w:rFonts w:ascii="Calibri" w:hAnsi="Calibri"/>
          <w:b w:val="0"/>
          <w:i w:val="0"/>
          <w:color w:val="1C242D"/>
          <w:sz w:val="21"/>
        </w:rPr>
        <w:t>Federal planning/energy context; prospective data-centre operators.</w:t>
      </w:r>
    </w:p>
    <w:p>
      <w:pPr>
        <w:spacing w:after="40"/>
      </w:pPr>
      <w:r>
        <w:rPr>
          <w:rFonts w:ascii="Calibri" w:hAnsi="Calibri"/>
          <w:b/>
          <w:i w:val="0"/>
          <w:color w:val="1C242D"/>
          <w:sz w:val="21"/>
        </w:rPr>
        <w:t xml:space="preserve">Evidence: </w:t>
      </w:r>
      <w:hyperlink r:id="rId17">
        <w:r>
          <w:rPr>
            <w:color w:val="2E74B5"/>
            <w:u w:val="single"/>
            <w:rFonts w:ascii="Calibri" w:hAnsi="Calibri"/>
            <w:sz w:val="19"/>
          </w:rPr>
          <w:t>PID ministerial remarks (25 August 2026)</w:t>
        </w:r>
      </w:hyperlink>
    </w:p>
    <w:p>
      <w:pPr>
        <w:spacing w:after="40"/>
      </w:pPr>
      <w:r>
        <w:rPr>
          <w:rFonts w:ascii="Calibri" w:hAnsi="Calibri"/>
          <w:b/>
          <w:i w:val="0"/>
          <w:color w:val="1C242D"/>
          <w:sz w:val="21"/>
        </w:rPr>
        <w:t xml:space="preserve">What changed: </w:t>
      </w:r>
      <w:r>
        <w:rPr>
          <w:rFonts w:ascii="Calibri" w:hAnsi="Calibri"/>
          <w:b w:val="0"/>
          <w:i w:val="0"/>
          <w:color w:val="1C242D"/>
          <w:sz w:val="21"/>
        </w:rPr>
        <w:t>No readiness evidence added after 06:38 PKT.</w:t>
      </w:r>
    </w:p>
    <w:p>
      <w:pPr>
        <w:spacing w:after="40"/>
      </w:pPr>
      <w:r>
        <w:rPr>
          <w:rFonts w:ascii="Calibri" w:hAnsi="Calibri"/>
          <w:b/>
          <w:i w:val="0"/>
          <w:color w:val="1C242D"/>
          <w:sz w:val="21"/>
        </w:rPr>
        <w:t xml:space="preserve">Why it matters: </w:t>
      </w:r>
      <w:r>
        <w:rPr>
          <w:rFonts w:ascii="Calibri" w:hAnsi="Calibri"/>
          <w:b w:val="0"/>
          <w:i w:val="0"/>
          <w:color w:val="1C242D"/>
          <w:sz w:val="21"/>
        </w:rPr>
        <w:t>Compute announcements should be discounted until power quality, commercial supply, redundancy, cooling and commissioning are documented. Energy surplus at system level does not prove site readiness.</w:t>
      </w:r>
    </w:p>
    <w:p>
      <w:pPr>
        <w:spacing w:after="100"/>
      </w:pPr>
      <w:r>
        <w:rPr>
          <w:rFonts w:ascii="Calibri" w:hAnsi="Calibri"/>
          <w:b/>
          <w:i w:val="0"/>
          <w:color w:val="1C242D"/>
          <w:sz w:val="21"/>
        </w:rPr>
        <w:t xml:space="preserve">Confidence: </w:t>
      </w:r>
      <w:r>
        <w:rPr>
          <w:rFonts w:ascii="Calibri" w:hAnsi="Calibri"/>
          <w:b w:val="0"/>
          <w:i w:val="0"/>
          <w:color w:val="1C242D"/>
          <w:sz w:val="21"/>
        </w:rPr>
        <w:t>Medium.</w:t>
      </w:r>
    </w:p>
    <w:p>
      <w:pPr>
        <w:pStyle w:val="Heading1"/>
      </w:pPr>
      <w:r>
        <w:t>6. Programs, funding, and investment</w:t>
      </w:r>
    </w:p>
    <w:p>
      <w:pPr>
        <w:pStyle w:val="Heading2"/>
      </w:pPr>
      <w:r>
        <w:rPr>
          <w:rFonts w:ascii="Calibri" w:hAnsi="Calibri"/>
          <w:b/>
          <w:i w:val="0"/>
          <w:color w:val="2E74B5"/>
          <w:sz w:val="25"/>
        </w:rPr>
        <w:t>Federal AI procurements</w:t>
      </w:r>
    </w:p>
    <w:p>
      <w:pPr>
        <w:spacing w:after="40"/>
      </w:pPr>
      <w:r>
        <w:rPr>
          <w:rFonts w:ascii="Calibri" w:hAnsi="Calibri"/>
          <w:b/>
          <w:i w:val="0"/>
          <w:color w:val="1C242D"/>
          <w:sz w:val="21"/>
        </w:rPr>
        <w:t xml:space="preserve">Development: </w:t>
      </w:r>
      <w:r>
        <w:rPr>
          <w:rFonts w:ascii="Calibri" w:hAnsi="Calibri"/>
          <w:b w:val="0"/>
          <w:i w:val="0"/>
          <w:color w:val="1C242D"/>
          <w:sz w:val="21"/>
        </w:rPr>
        <w:t>NAAI hardware tender TS0000010938E remains closed/corrigendum without a visible evaluation or award. AI Hubs TS0000010287E remains open to 31 August; PTA AI-powered DIRBS TS0000011207E remains open to 27 August.</w:t>
      </w:r>
    </w:p>
    <w:p>
      <w:pPr>
        <w:spacing w:after="40"/>
      </w:pPr>
      <w:r>
        <w:rPr>
          <w:rFonts w:ascii="Calibri" w:hAnsi="Calibri"/>
          <w:b/>
          <w:i w:val="0"/>
          <w:color w:val="1C242D"/>
          <w:sz w:val="21"/>
        </w:rPr>
        <w:t xml:space="preserve">Status: </w:t>
      </w:r>
      <w:r>
        <w:rPr>
          <w:rFonts w:ascii="Calibri" w:hAnsi="Calibri"/>
          <w:b w:val="0"/>
          <w:i w:val="0"/>
          <w:color w:val="1C242D"/>
          <w:sz w:val="21"/>
        </w:rPr>
        <w:t>Closed/evaluation not evidenced; tendered/pre-close; tendered/pre-close, respectively.</w:t>
      </w:r>
    </w:p>
    <w:p>
      <w:pPr>
        <w:spacing w:after="40"/>
      </w:pPr>
      <w:r>
        <w:rPr>
          <w:rFonts w:ascii="Calibri" w:hAnsi="Calibri"/>
          <w:b/>
          <w:i w:val="0"/>
          <w:color w:val="1C242D"/>
          <w:sz w:val="21"/>
        </w:rPr>
        <w:t xml:space="preserve">Institution/location: </w:t>
      </w:r>
      <w:r>
        <w:rPr>
          <w:rFonts w:ascii="Calibri" w:hAnsi="Calibri"/>
          <w:b w:val="0"/>
          <w:i w:val="0"/>
          <w:color w:val="1C242D"/>
          <w:sz w:val="21"/>
        </w:rPr>
        <w:t>MoITT Digital Emerging Tech and Pakistan Telecommunication Authority, Islamabad.</w:t>
      </w:r>
    </w:p>
    <w:p>
      <w:pPr>
        <w:spacing w:after="40"/>
      </w:pPr>
      <w:r>
        <w:rPr>
          <w:rFonts w:ascii="Calibri" w:hAnsi="Calibri"/>
          <w:b/>
          <w:i w:val="0"/>
          <w:color w:val="1C242D"/>
          <w:sz w:val="21"/>
        </w:rPr>
        <w:t xml:space="preserve">Evidence: </w:t>
      </w:r>
      <w:hyperlink r:id="rId18">
        <w:r>
          <w:rPr>
            <w:color w:val="2E74B5"/>
            <w:u w:val="single"/>
            <w:rFonts w:ascii="Calibri" w:hAnsi="Calibri"/>
            <w:sz w:val="19"/>
          </w:rPr>
          <w:t>PPRA NAAI hardware record (advertised 21 August 2026)</w:t>
        </w:r>
      </w:hyperlink>
    </w:p>
    <w:p>
      <w:pPr>
        <w:spacing w:after="40"/>
      </w:pPr>
      <w:r>
        <w:rPr>
          <w:rFonts w:ascii="Calibri" w:hAnsi="Calibri"/>
          <w:b/>
          <w:i w:val="0"/>
          <w:color w:val="1C242D"/>
          <w:sz w:val="21"/>
        </w:rPr>
        <w:t xml:space="preserve">What changed: </w:t>
      </w:r>
      <w:r>
        <w:rPr>
          <w:rFonts w:ascii="Calibri" w:hAnsi="Calibri"/>
          <w:b w:val="0"/>
          <w:i w:val="0"/>
          <w:color w:val="1C242D"/>
          <w:sz w:val="21"/>
        </w:rPr>
        <w:t>No evaluation, award or contract record appeared. PPRA totals remain 1,849 tenders, 2,783 evaluations and 541 contracts.</w:t>
      </w:r>
    </w:p>
    <w:p>
      <w:pPr>
        <w:spacing w:after="40"/>
      </w:pPr>
      <w:r>
        <w:rPr>
          <w:rFonts w:ascii="Calibri" w:hAnsi="Calibri"/>
          <w:b/>
          <w:i w:val="0"/>
          <w:color w:val="1C242D"/>
          <w:sz w:val="21"/>
        </w:rPr>
        <w:t xml:space="preserve">Why it matters: </w:t>
      </w:r>
      <w:r>
        <w:rPr>
          <w:rFonts w:ascii="Calibri" w:hAnsi="Calibri"/>
          <w:b w:val="0"/>
          <w:i w:val="0"/>
          <w:color w:val="1C242D"/>
          <w:sz w:val="21"/>
        </w:rPr>
        <w:t>The procurement pipeline is real, but no supplier selection, expenditure realization, hardware acceptance or service delivery can yet be inferred.</w:t>
      </w:r>
    </w:p>
    <w:p>
      <w:pPr>
        <w:spacing w:after="100"/>
      </w:pPr>
      <w:r>
        <w:rPr>
          <w:rFonts w:ascii="Calibri" w:hAnsi="Calibri"/>
          <w:b/>
          <w:i w:val="0"/>
          <w:color w:val="1C242D"/>
          <w:sz w:val="21"/>
        </w:rPr>
        <w:t xml:space="preserve">Confidence: </w:t>
      </w:r>
      <w:r>
        <w:rPr>
          <w:rFonts w:ascii="Calibri" w:hAnsi="Calibri"/>
          <w:b w:val="0"/>
          <w:i w:val="0"/>
          <w:color w:val="1C242D"/>
          <w:sz w:val="21"/>
        </w:rPr>
        <w:t>High on visible status; medium on exhaustive downstream absence.</w:t>
      </w:r>
    </w:p>
    <w:p>
      <w:pPr>
        <w:pStyle w:val="Heading2"/>
      </w:pPr>
      <w:r>
        <w:rPr>
          <w:rFonts w:ascii="Calibri" w:hAnsi="Calibri"/>
          <w:b/>
          <w:i w:val="0"/>
          <w:color w:val="2E74B5"/>
          <w:sz w:val="25"/>
        </w:rPr>
        <w:t>Funding, partnerships and realised investment</w:t>
      </w:r>
    </w:p>
    <w:p>
      <w:pPr>
        <w:spacing w:after="40"/>
      </w:pPr>
      <w:r>
        <w:rPr>
          <w:rFonts w:ascii="Calibri" w:hAnsi="Calibri"/>
          <w:b/>
          <w:i w:val="0"/>
          <w:color w:val="1C242D"/>
          <w:sz w:val="21"/>
        </w:rPr>
        <w:t xml:space="preserve">Development: </w:t>
      </w:r>
      <w:r>
        <w:rPr>
          <w:rFonts w:ascii="Calibri" w:hAnsi="Calibri"/>
          <w:b w:val="0"/>
          <w:i w:val="0"/>
          <w:color w:val="1C242D"/>
          <w:sz w:val="21"/>
        </w:rPr>
        <w:t>The federal PID feed has no 26 August release at cutoff; the newest visible release remained timestamped 25 August 19:48. No new funding release, delivered partnership or realised major investment was authenticated.</w:t>
      </w:r>
    </w:p>
    <w:p>
      <w:pPr>
        <w:spacing w:after="40"/>
      </w:pPr>
      <w:r>
        <w:rPr>
          <w:rFonts w:ascii="Calibri" w:hAnsi="Calibri"/>
          <w:b/>
          <w:i w:val="0"/>
          <w:color w:val="1C242D"/>
          <w:sz w:val="21"/>
        </w:rPr>
        <w:t xml:space="preserve">Status: </w:t>
      </w:r>
      <w:r>
        <w:rPr>
          <w:rFonts w:ascii="Calibri" w:hAnsi="Calibri"/>
          <w:b w:val="0"/>
          <w:i w:val="0"/>
          <w:color w:val="1C242D"/>
          <w:sz w:val="21"/>
        </w:rPr>
        <w:t>No material post-cutoff change.</w:t>
      </w:r>
    </w:p>
    <w:p>
      <w:pPr>
        <w:spacing w:after="40"/>
      </w:pPr>
      <w:r>
        <w:rPr>
          <w:rFonts w:ascii="Calibri" w:hAnsi="Calibri"/>
          <w:b/>
          <w:i w:val="0"/>
          <w:color w:val="1C242D"/>
          <w:sz w:val="21"/>
        </w:rPr>
        <w:t xml:space="preserve">Institution/location: </w:t>
      </w:r>
      <w:r>
        <w:rPr>
          <w:rFonts w:ascii="Calibri" w:hAnsi="Calibri"/>
          <w:b w:val="0"/>
          <w:i w:val="0"/>
          <w:color w:val="1C242D"/>
          <w:sz w:val="21"/>
        </w:rPr>
        <w:t>Federal government and private-sector monitoring scope.</w:t>
      </w:r>
    </w:p>
    <w:p>
      <w:pPr>
        <w:spacing w:after="40"/>
      </w:pPr>
      <w:r>
        <w:rPr>
          <w:rFonts w:ascii="Calibri" w:hAnsi="Calibri"/>
          <w:b/>
          <w:i w:val="0"/>
          <w:color w:val="1C242D"/>
          <w:sz w:val="21"/>
        </w:rPr>
        <w:t xml:space="preserve">Evidence: </w:t>
      </w:r>
      <w:hyperlink r:id="rId19">
        <w:r>
          <w:rPr>
            <w:color w:val="2E74B5"/>
            <w:u w:val="single"/>
            <w:rFonts w:ascii="Calibri" w:hAnsi="Calibri"/>
            <w:sz w:val="19"/>
          </w:rPr>
          <w:t>PID press-release feed (live; inspected 26 August 2026)</w:t>
        </w:r>
      </w:hyperlink>
    </w:p>
    <w:p>
      <w:pPr>
        <w:spacing w:after="40"/>
      </w:pPr>
      <w:r>
        <w:rPr>
          <w:rFonts w:ascii="Calibri" w:hAnsi="Calibri"/>
          <w:b/>
          <w:i w:val="0"/>
          <w:color w:val="1C242D"/>
          <w:sz w:val="21"/>
        </w:rPr>
        <w:t xml:space="preserve">What changed: </w:t>
      </w:r>
      <w:r>
        <w:rPr>
          <w:rFonts w:ascii="Calibri" w:hAnsi="Calibri"/>
          <w:b w:val="0"/>
          <w:i w:val="0"/>
          <w:color w:val="1C242D"/>
          <w:sz w:val="21"/>
        </w:rPr>
        <w:t>None.</w:t>
      </w:r>
    </w:p>
    <w:p>
      <w:pPr>
        <w:spacing w:after="40"/>
      </w:pPr>
      <w:r>
        <w:rPr>
          <w:rFonts w:ascii="Calibri" w:hAnsi="Calibri"/>
          <w:b/>
          <w:i w:val="0"/>
          <w:color w:val="1C242D"/>
          <w:sz w:val="21"/>
        </w:rPr>
        <w:t xml:space="preserve">Why it matters: </w:t>
      </w:r>
      <w:r>
        <w:rPr>
          <w:rFonts w:ascii="Calibri" w:hAnsi="Calibri"/>
          <w:b w:val="0"/>
          <w:i w:val="0"/>
          <w:color w:val="1C242D"/>
          <w:sz w:val="21"/>
        </w:rPr>
        <w:t>Announcements, MoUs and political investment statements should remain separate from signed contracts, disbursement, installed capacity and operating assets.</w:t>
      </w:r>
    </w:p>
    <w:p>
      <w:pPr>
        <w:spacing w:after="100"/>
      </w:pPr>
      <w:r>
        <w:rPr>
          <w:rFonts w:ascii="Calibri" w:hAnsi="Calibri"/>
          <w:b/>
          <w:i w:val="0"/>
          <w:color w:val="1C242D"/>
          <w:sz w:val="21"/>
        </w:rPr>
        <w:t xml:space="preserve">Confidence: </w:t>
      </w:r>
      <w:r>
        <w:rPr>
          <w:rFonts w:ascii="Calibri" w:hAnsi="Calibri"/>
          <w:b w:val="0"/>
          <w:i w:val="0"/>
          <w:color w:val="1C242D"/>
          <w:sz w:val="21"/>
        </w:rPr>
        <w:t>Medium-high overall; medium for comprehensive private disclosure.</w:t>
      </w:r>
    </w:p>
    <w:p>
      <w:pPr>
        <w:pStyle w:val="Heading1"/>
      </w:pPr>
      <w:r>
        <w:t>7. Provincial and local developments</w:t>
      </w:r>
    </w:p>
    <w:p>
      <w:pPr>
        <w:pStyle w:val="Heading2"/>
      </w:pPr>
      <w:r>
        <w:rPr>
          <w:rFonts w:ascii="Calibri" w:hAnsi="Calibri"/>
          <w:b/>
          <w:i w:val="0"/>
          <w:color w:val="2E74B5"/>
          <w:sz w:val="25"/>
        </w:rPr>
        <w:t>Punjab digital and AI procurements</w:t>
      </w:r>
    </w:p>
    <w:p>
      <w:pPr>
        <w:spacing w:after="40"/>
      </w:pPr>
      <w:r>
        <w:rPr>
          <w:rFonts w:ascii="Calibri" w:hAnsi="Calibri"/>
          <w:b/>
          <w:i w:val="0"/>
          <w:color w:val="1C242D"/>
          <w:sz w:val="21"/>
        </w:rPr>
        <w:t xml:space="preserve">Development: </w:t>
      </w:r>
      <w:r>
        <w:rPr>
          <w:rFonts w:ascii="Calibri" w:hAnsi="Calibri"/>
          <w:b w:val="0"/>
          <w:i w:val="0"/>
          <w:color w:val="1C242D"/>
          <w:sz w:val="21"/>
        </w:rPr>
        <w:t>PITB lists HMIS hardware closing today, GPU servers closing 31 August, and the Government AI Cloud consultancy closed 24 August. No visible evaluation, award, delivery or commissioning notice was found.</w:t>
      </w:r>
    </w:p>
    <w:p>
      <w:pPr>
        <w:spacing w:after="40"/>
      </w:pPr>
      <w:r>
        <w:rPr>
          <w:rFonts w:ascii="Calibri" w:hAnsi="Calibri"/>
          <w:b/>
          <w:i w:val="0"/>
          <w:color w:val="1C242D"/>
          <w:sz w:val="21"/>
        </w:rPr>
        <w:t xml:space="preserve">Status: </w:t>
      </w:r>
      <w:r>
        <w:rPr>
          <w:rFonts w:ascii="Calibri" w:hAnsi="Calibri"/>
          <w:b w:val="0"/>
          <w:i w:val="0"/>
          <w:color w:val="1C242D"/>
          <w:sz w:val="21"/>
        </w:rPr>
        <w:t>Tendered/pre-close; tendered/pre-close; closed/evaluation not evidenced.</w:t>
      </w:r>
    </w:p>
    <w:p>
      <w:pPr>
        <w:spacing w:after="40"/>
      </w:pPr>
      <w:r>
        <w:rPr>
          <w:rFonts w:ascii="Calibri" w:hAnsi="Calibri"/>
          <w:b/>
          <w:i w:val="0"/>
          <w:color w:val="1C242D"/>
          <w:sz w:val="21"/>
        </w:rPr>
        <w:t xml:space="preserve">Institution/location: </w:t>
      </w:r>
      <w:r>
        <w:rPr>
          <w:rFonts w:ascii="Calibri" w:hAnsi="Calibri"/>
          <w:b w:val="0"/>
          <w:i w:val="0"/>
          <w:color w:val="1C242D"/>
          <w:sz w:val="21"/>
        </w:rPr>
        <w:t>Punjab Information Technology Board, Lahore/Punjab.</w:t>
      </w:r>
    </w:p>
    <w:p>
      <w:pPr>
        <w:spacing w:after="40"/>
      </w:pPr>
      <w:r>
        <w:rPr>
          <w:rFonts w:ascii="Calibri" w:hAnsi="Calibri"/>
          <w:b/>
          <w:i w:val="0"/>
          <w:color w:val="1C242D"/>
          <w:sz w:val="21"/>
        </w:rPr>
        <w:t xml:space="preserve">Evidence: </w:t>
      </w:r>
      <w:hyperlink r:id="rId20">
        <w:r>
          <w:rPr>
            <w:color w:val="2E74B5"/>
            <w:u w:val="single"/>
            <w:rFonts w:ascii="Calibri" w:hAnsi="Calibri"/>
            <w:sz w:val="19"/>
          </w:rPr>
          <w:t>PITB tender register (live; inspected 26 August 2026)</w:t>
        </w:r>
      </w:hyperlink>
    </w:p>
    <w:p>
      <w:pPr>
        <w:spacing w:after="40"/>
      </w:pPr>
      <w:r>
        <w:rPr>
          <w:rFonts w:ascii="Calibri" w:hAnsi="Calibri"/>
          <w:b/>
          <w:i w:val="0"/>
          <w:color w:val="1C242D"/>
          <w:sz w:val="21"/>
        </w:rPr>
        <w:t xml:space="preserve">What changed: </w:t>
      </w:r>
      <w:r>
        <w:rPr>
          <w:rFonts w:ascii="Calibri" w:hAnsi="Calibri"/>
          <w:b w:val="0"/>
          <w:i w:val="0"/>
          <w:color w:val="1C242D"/>
          <w:sz w:val="21"/>
        </w:rPr>
        <w:t>No post-cutoff stage change; the HMIS 11:00 PKT deadline had not occurred by the 07:10 PKT cutoff.</w:t>
      </w:r>
    </w:p>
    <w:p>
      <w:pPr>
        <w:spacing w:after="40"/>
      </w:pPr>
      <w:r>
        <w:rPr>
          <w:rFonts w:ascii="Calibri" w:hAnsi="Calibri"/>
          <w:b/>
          <w:i w:val="0"/>
          <w:color w:val="1C242D"/>
          <w:sz w:val="21"/>
        </w:rPr>
        <w:t xml:space="preserve">Why it matters: </w:t>
      </w:r>
      <w:r>
        <w:rPr>
          <w:rFonts w:ascii="Calibri" w:hAnsi="Calibri"/>
          <w:b w:val="0"/>
          <w:i w:val="0"/>
          <w:color w:val="1C242D"/>
          <w:sz w:val="21"/>
        </w:rPr>
        <w:t>Today’s deadline may produce a later-stage update, but a closing date alone is not an award or delivery milestone.</w:t>
      </w:r>
    </w:p>
    <w:p>
      <w:pPr>
        <w:spacing w:after="100"/>
      </w:pPr>
      <w:r>
        <w:rPr>
          <w:rFonts w:ascii="Calibri" w:hAnsi="Calibri"/>
          <w:b/>
          <w:i w:val="0"/>
          <w:color w:val="1C242D"/>
          <w:sz w:val="21"/>
        </w:rPr>
        <w:t xml:space="preserve">Confidence: </w:t>
      </w:r>
      <w:r>
        <w:rPr>
          <w:rFonts w:ascii="Calibri" w:hAnsi="Calibri"/>
          <w:b w:val="0"/>
          <w:i w:val="0"/>
          <w:color w:val="1C242D"/>
          <w:sz w:val="21"/>
        </w:rPr>
        <w:t>High on index state; medium on unindexed results.</w:t>
      </w:r>
    </w:p>
    <w:p>
      <w:pPr>
        <w:pStyle w:val="Heading2"/>
      </w:pPr>
      <w:r>
        <w:rPr>
          <w:rFonts w:ascii="Calibri" w:hAnsi="Calibri"/>
          <w:b/>
          <w:i w:val="0"/>
          <w:color w:val="2E74B5"/>
          <w:sz w:val="25"/>
        </w:rPr>
        <w:t>KP, Sindh and Balochistan</w:t>
      </w:r>
    </w:p>
    <w:p>
      <w:pPr>
        <w:spacing w:after="40"/>
      </w:pPr>
      <w:r>
        <w:rPr>
          <w:rFonts w:ascii="Calibri" w:hAnsi="Calibri"/>
          <w:b/>
          <w:i w:val="0"/>
          <w:color w:val="1C242D"/>
          <w:sz w:val="21"/>
        </w:rPr>
        <w:t xml:space="preserve">Development: </w:t>
      </w:r>
      <w:r>
        <w:rPr>
          <w:rFonts w:ascii="Calibri" w:hAnsi="Calibri"/>
          <w:b w:val="0"/>
          <w:i w:val="0"/>
          <w:color w:val="1C242D"/>
          <w:sz w:val="21"/>
        </w:rPr>
        <w:t>Official provincial indices showed no timestamp-verifiable post-cutoff AI, cloud, data-centre, connectivity or digital-governance milestone.</w:t>
      </w:r>
    </w:p>
    <w:p>
      <w:pPr>
        <w:spacing w:after="40"/>
      </w:pPr>
      <w:r>
        <w:rPr>
          <w:rFonts w:ascii="Calibri" w:hAnsi="Calibri"/>
          <w:b/>
          <w:i w:val="0"/>
          <w:color w:val="1C242D"/>
          <w:sz w:val="21"/>
        </w:rPr>
        <w:t xml:space="preserve">Status: </w:t>
      </w:r>
      <w:r>
        <w:rPr>
          <w:rFonts w:ascii="Calibri" w:hAnsi="Calibri"/>
          <w:b w:val="0"/>
          <w:i w:val="0"/>
          <w:color w:val="1C242D"/>
          <w:sz w:val="21"/>
        </w:rPr>
        <w:t>No material delta authenticated.</w:t>
      </w:r>
    </w:p>
    <w:p>
      <w:pPr>
        <w:spacing w:after="40"/>
      </w:pPr>
      <w:r>
        <w:rPr>
          <w:rFonts w:ascii="Calibri" w:hAnsi="Calibri"/>
          <w:b/>
          <w:i w:val="0"/>
          <w:color w:val="1C242D"/>
          <w:sz w:val="21"/>
        </w:rPr>
        <w:t xml:space="preserve">Institution/location: </w:t>
      </w:r>
      <w:r>
        <w:rPr>
          <w:rFonts w:ascii="Calibri" w:hAnsi="Calibri"/>
          <w:b w:val="0"/>
          <w:i w:val="0"/>
          <w:color w:val="1C242D"/>
          <w:sz w:val="21"/>
        </w:rPr>
        <w:t>KP government/KPITB; Sindh Science &amp; IT Department; Balochistan Science &amp; IT Department.</w:t>
      </w:r>
    </w:p>
    <w:p>
      <w:pPr>
        <w:spacing w:after="40"/>
      </w:pPr>
      <w:r>
        <w:rPr>
          <w:rFonts w:ascii="Calibri" w:hAnsi="Calibri"/>
          <w:b/>
          <w:i w:val="0"/>
          <w:color w:val="1C242D"/>
          <w:sz w:val="21"/>
        </w:rPr>
        <w:t xml:space="preserve">Evidence: </w:t>
      </w:r>
      <w:hyperlink r:id="rId21">
        <w:r>
          <w:rPr>
            <w:color w:val="2E74B5"/>
            <w:u w:val="single"/>
            <w:rFonts w:ascii="Calibri" w:hAnsi="Calibri"/>
            <w:sz w:val="19"/>
          </w:rPr>
          <w:t>Sindh Science &amp; IT Department homepage (live; inspected 26 August 2026)</w:t>
        </w:r>
      </w:hyperlink>
    </w:p>
    <w:p>
      <w:pPr>
        <w:spacing w:after="40"/>
      </w:pPr>
      <w:r>
        <w:rPr>
          <w:rFonts w:ascii="Calibri" w:hAnsi="Calibri"/>
          <w:b/>
          <w:i w:val="0"/>
          <w:color w:val="1C242D"/>
          <w:sz w:val="21"/>
        </w:rPr>
        <w:t xml:space="preserve">What changed: </w:t>
      </w:r>
      <w:r>
        <w:rPr>
          <w:rFonts w:ascii="Calibri" w:hAnsi="Calibri"/>
          <w:b w:val="0"/>
          <w:i w:val="0"/>
          <w:color w:val="1C242D"/>
          <w:sz w:val="21"/>
        </w:rPr>
        <w:t>None.</w:t>
      </w:r>
    </w:p>
    <w:p>
      <w:pPr>
        <w:spacing w:after="40"/>
      </w:pPr>
      <w:r>
        <w:rPr>
          <w:rFonts w:ascii="Calibri" w:hAnsi="Calibri"/>
          <w:b/>
          <w:i w:val="0"/>
          <w:color w:val="1C242D"/>
          <w:sz w:val="21"/>
        </w:rPr>
        <w:t xml:space="preserve">Why it matters: </w:t>
      </w:r>
      <w:r>
        <w:rPr>
          <w:rFonts w:ascii="Calibri" w:hAnsi="Calibri"/>
          <w:b w:val="0"/>
          <w:i w:val="0"/>
          <w:color w:val="1C242D"/>
          <w:sz w:val="21"/>
        </w:rPr>
        <w:t>Provincial publication metadata is uneven, so the negative should be read as “not publicly authenticated by cutoff,” not proof that no internal activity occurred.</w:t>
      </w:r>
    </w:p>
    <w:p>
      <w:pPr>
        <w:spacing w:after="100"/>
      </w:pPr>
      <w:r>
        <w:rPr>
          <w:rFonts w:ascii="Calibri" w:hAnsi="Calibri"/>
          <w:b/>
          <w:i w:val="0"/>
          <w:color w:val="1C242D"/>
          <w:sz w:val="21"/>
        </w:rPr>
        <w:t xml:space="preserve">Confidence: </w:t>
      </w:r>
      <w:r>
        <w:rPr>
          <w:rFonts w:ascii="Calibri" w:hAnsi="Calibri"/>
          <w:b w:val="0"/>
          <w:i w:val="0"/>
          <w:color w:val="1C242D"/>
          <w:sz w:val="21"/>
        </w:rPr>
        <w:t>Medium.</w:t>
      </w:r>
    </w:p>
    <w:p>
      <w:pPr>
        <w:pStyle w:val="Heading1"/>
      </w:pPr>
      <w:r>
        <w:t>8. What changed / why it matters</w:t>
      </w:r>
    </w:p>
    <w:p>
      <w:r>
        <w:rPr>
          <w:rFonts w:ascii="Calibri" w:hAnsi="Calibri"/>
          <w:b w:val="0"/>
          <w:i w:val="0"/>
          <w:color w:val="1C242D"/>
          <w:sz w:val="21"/>
        </w:rPr>
        <w:t>The strict answer is that nothing material changed in the 32 minutes since the previous briefing. The decision-relevant finding is therefore status discipline: policy remains policy, drafts remain drafts, tenders remain procurement-stage records, CDWP recommendations remain short of ECNEC approval, and ministerial investment pitches remain short of facility-readiness proof.</w:t>
      </w:r>
    </w:p>
    <w:p>
      <w:pPr>
        <w:pStyle w:val="ListBullet"/>
      </w:pPr>
      <w:r>
        <w:rPr>
          <w:rFonts w:ascii="Calibri" w:hAnsi="Calibri"/>
          <w:b w:val="0"/>
          <w:i w:val="0"/>
          <w:color w:val="1C242D"/>
          <w:sz w:val="21"/>
        </w:rPr>
        <w:t>For companies: do not assume a comprehensive horizontal privacy act is in force. Continue to map sector rules, contractual data obligations, cybersecurity controls and expected future transfer/localisation requirements.</w:t>
      </w:r>
    </w:p>
    <w:p>
      <w:pPr>
        <w:pStyle w:val="ListBullet"/>
      </w:pPr>
      <w:r>
        <w:rPr>
          <w:rFonts w:ascii="Calibri" w:hAnsi="Calibri"/>
          <w:b w:val="0"/>
          <w:i w:val="0"/>
          <w:color w:val="1C242D"/>
          <w:sz w:val="21"/>
        </w:rPr>
        <w:t>For public bodies: WASL and DNP standards are a concrete interoperability and consent-design baseline, but adoption, conformance and legal incorporation should be verified instrument by instrument.</w:t>
      </w:r>
    </w:p>
    <w:p>
      <w:pPr>
        <w:pStyle w:val="ListBullet"/>
      </w:pPr>
      <w:r>
        <w:rPr>
          <w:rFonts w:ascii="Calibri" w:hAnsi="Calibri"/>
          <w:b w:val="0"/>
          <w:i w:val="0"/>
          <w:color w:val="1C242D"/>
          <w:sz w:val="21"/>
        </w:rPr>
        <w:t>For investors and cloud/data-centre operators: require facility-level power, cooling, connectivity, land, permitting, financing and commissioning evidence before valuing announced sovereign compute capacity.</w:t>
      </w:r>
    </w:p>
    <w:p>
      <w:pPr>
        <w:pStyle w:val="ListBullet"/>
      </w:pPr>
      <w:r>
        <w:rPr>
          <w:rFonts w:ascii="Calibri" w:hAnsi="Calibri"/>
          <w:b w:val="0"/>
          <w:i w:val="0"/>
          <w:color w:val="1C242D"/>
          <w:sz w:val="21"/>
        </w:rPr>
        <w:t>For suppliers: the watched tenders are opportunities, not revenue. Evaluation, award, contract publication, acceptance and payment remain separate gates.</w:t>
      </w:r>
    </w:p>
    <w:p>
      <w:pPr>
        <w:pStyle w:val="ListBullet"/>
      </w:pPr>
      <w:r>
        <w:rPr>
          <w:rFonts w:ascii="Calibri" w:hAnsi="Calibri"/>
          <w:b w:val="0"/>
          <w:i w:val="0"/>
          <w:color w:val="1C242D"/>
          <w:sz w:val="21"/>
        </w:rPr>
        <w:t>For users and civil society: the absence of a horizontal privacy law leaves important questions unresolved, including lawful bases, rights, children’s data, automated decisions, cross-border transfers, government access, breach notification and remedies.</w:t>
      </w:r>
    </w:p>
    <w:p>
      <w:pPr>
        <w:pStyle w:val="Heading1"/>
      </w:pPr>
      <w:r>
        <w:t>9. Watchlist</w:t>
      </w:r>
    </w:p>
    <w:p>
      <w:pPr>
        <w:pStyle w:val="ListBullet"/>
      </w:pPr>
      <w:r>
        <w:rPr>
          <w:rFonts w:ascii="Calibri" w:hAnsi="Calibri"/>
          <w:b w:val="0"/>
          <w:i w:val="0"/>
          <w:color w:val="1C242D"/>
          <w:sz w:val="21"/>
        </w:rPr>
        <w:t>26 August, 11:00 PKT: PITB HMIS hardware tender closes; monitor bid-opening/evaluation records rather than treating closure as award.</w:t>
      </w:r>
    </w:p>
    <w:p>
      <w:pPr>
        <w:pStyle w:val="ListBullet"/>
      </w:pPr>
      <w:r>
        <w:rPr>
          <w:rFonts w:ascii="Calibri" w:hAnsi="Calibri"/>
          <w:b w:val="0"/>
          <w:i w:val="0"/>
          <w:color w:val="1C242D"/>
          <w:sz w:val="21"/>
        </w:rPr>
        <w:t>27 August: PTA AI-powered DIRBS tender closes at 11:00 PKT; PKCERT VAPT event is also scheduled.</w:t>
      </w:r>
    </w:p>
    <w:p>
      <w:pPr>
        <w:pStyle w:val="ListBullet"/>
      </w:pPr>
      <w:r>
        <w:rPr>
          <w:rFonts w:ascii="Calibri" w:hAnsi="Calibri"/>
          <w:b w:val="0"/>
          <w:i w:val="0"/>
          <w:color w:val="1C242D"/>
          <w:sz w:val="21"/>
        </w:rPr>
        <w:t>31 August: National AI Hubs and PITB GPU-server procurement deadlines; reconcile NAAI hardware evaluation/award status.</w:t>
      </w:r>
    </w:p>
    <w:p>
      <w:pPr>
        <w:pStyle w:val="ListBullet"/>
      </w:pPr>
      <w:r>
        <w:rPr>
          <w:rFonts w:ascii="Calibri" w:hAnsi="Calibri"/>
          <w:b w:val="0"/>
          <w:i w:val="0"/>
          <w:color w:val="1C242D"/>
          <w:sz w:val="21"/>
        </w:rPr>
        <w:t>1 September: National Assembly Standing Committee on IT &amp; Telecom meeting; monitor agenda, minutes and any Personal Data Protection or digital-governance action.</w:t>
      </w:r>
    </w:p>
    <w:p>
      <w:pPr>
        <w:pStyle w:val="ListBullet"/>
      </w:pPr>
      <w:r>
        <w:rPr>
          <w:rFonts w:ascii="Calibri" w:hAnsi="Calibri"/>
          <w:b w:val="0"/>
          <w:i w:val="0"/>
          <w:color w:val="1C242D"/>
          <w:sz w:val="21"/>
        </w:rPr>
        <w:t>5 September: PVARA transition milestone; watch licensing, data/cyber compliance and implementation guidance.</w:t>
      </w:r>
    </w:p>
    <w:p>
      <w:pPr>
        <w:pStyle w:val="ListBullet"/>
      </w:pPr>
      <w:r>
        <w:rPr>
          <w:rFonts w:ascii="Calibri" w:hAnsi="Calibri"/>
          <w:b w:val="0"/>
          <w:i w:val="0"/>
          <w:color w:val="1C242D"/>
          <w:sz w:val="21"/>
        </w:rPr>
        <w:t>8–21 September: watched sovereign-infrastructure procurements; verify evaluation, contract, load, cooling and commissioning evidence.</w:t>
      </w:r>
    </w:p>
    <w:p>
      <w:pPr>
        <w:pStyle w:val="ListBullet"/>
      </w:pPr>
      <w:r>
        <w:rPr>
          <w:rFonts w:ascii="Calibri" w:hAnsi="Calibri"/>
          <w:b w:val="0"/>
          <w:i w:val="0"/>
          <w:color w:val="1C242D"/>
          <w:sz w:val="21"/>
        </w:rPr>
        <w:t>1 October: Google Ads invoicing transition; monitor tax, entity and data-flow implications.</w:t>
      </w:r>
    </w:p>
    <w:p>
      <w:pPr>
        <w:pStyle w:val="ListBullet"/>
      </w:pPr>
      <w:r>
        <w:rPr>
          <w:rFonts w:ascii="Calibri" w:hAnsi="Calibri"/>
          <w:b w:val="0"/>
          <w:i w:val="0"/>
          <w:color w:val="1C242D"/>
          <w:sz w:val="21"/>
        </w:rPr>
        <w:t>Google presence: verify canonical street address, office type, operating/employing/invoicing entities, filled roles, mandate, signed workplan, realised investment, public-sector data flows, local hosting, Cloud region and owned data centre. Google’s Pakistan country page is not, by itself, a canonical office listing.</w:t>
      </w:r>
    </w:p>
    <w:p>
      <w:pPr>
        <w:pStyle w:val="ListBullet"/>
      </w:pPr>
      <w:r>
        <w:rPr>
          <w:rFonts w:ascii="Calibri" w:hAnsi="Calibri"/>
          <w:b w:val="0"/>
          <w:i w:val="0"/>
          <w:color w:val="1C242D"/>
          <w:sz w:val="21"/>
        </w:rPr>
        <w:t>Data regulation: authenticate final Personal Data Protection text and commencement, final Data Governance Policy, DNP participation/conformance rules, cross-border transfer/localisation duties, retention, breach notice, children’s data, automated-decision safeguards, government access, regulator powers and penalties.</w:t>
      </w:r>
    </w:p>
    <w:p>
      <w:pPr>
        <w:pStyle w:val="Heading1"/>
      </w:pPr>
      <w:r>
        <w:t>10. Sources</w:t>
      </w:r>
    </w:p>
    <w:p>
      <w:pPr>
        <w:pStyle w:val="SourceEntry"/>
      </w:pPr>
      <w:r>
        <w:rPr>
          <w:rFonts w:ascii="Calibri" w:hAnsi="Calibri"/>
          <w:b/>
          <w:i w:val="0"/>
          <w:color w:val="1C242D"/>
          <w:sz w:val="18"/>
        </w:rPr>
        <w:t xml:space="preserve">1. Ministry of IT &amp; Telecommunication. </w:t>
      </w:r>
      <w:hyperlink r:id="rId11">
        <w:r>
          <w:rPr>
            <w:color w:val="2E74B5"/>
            <w:u w:val="single"/>
            <w:rFonts w:ascii="Calibri" w:hAnsi="Calibri"/>
            <w:sz w:val="19"/>
          </w:rPr>
          <w:t>Policies register</w:t>
        </w:r>
      </w:hyperlink>
      <w:r>
        <w:rPr>
          <w:rFonts w:ascii="Calibri" w:hAnsi="Calibri"/>
          <w:b w:val="0"/>
          <w:i w:val="0"/>
          <w:color w:val="1C242D"/>
          <w:sz w:val="18"/>
        </w:rPr>
        <w:t>. live; inspected 26 Aug 2026.</w:t>
      </w:r>
    </w:p>
    <w:p>
      <w:pPr>
        <w:pStyle w:val="SourceEntry"/>
      </w:pPr>
      <w:r>
        <w:rPr>
          <w:rFonts w:ascii="Calibri" w:hAnsi="Calibri"/>
          <w:b/>
          <w:i w:val="0"/>
          <w:color w:val="1C242D"/>
          <w:sz w:val="18"/>
        </w:rPr>
        <w:t xml:space="preserve">2. National Assembly of Pakistan. </w:t>
      </w:r>
      <w:hyperlink r:id="rId12">
        <w:r>
          <w:rPr>
            <w:color w:val="2E74B5"/>
            <w:u w:val="single"/>
            <w:rFonts w:ascii="Calibri" w:hAnsi="Calibri"/>
            <w:sz w:val="19"/>
          </w:rPr>
          <w:t>Acts of Parliament</w:t>
        </w:r>
      </w:hyperlink>
      <w:r>
        <w:rPr>
          <w:rFonts w:ascii="Calibri" w:hAnsi="Calibri"/>
          <w:b w:val="0"/>
          <w:i w:val="0"/>
          <w:color w:val="1C242D"/>
          <w:sz w:val="18"/>
        </w:rPr>
        <w:t>. last updated 25 Aug 2026, 17:43.</w:t>
      </w:r>
    </w:p>
    <w:p>
      <w:pPr>
        <w:pStyle w:val="SourceEntry"/>
      </w:pPr>
      <w:r>
        <w:rPr>
          <w:rFonts w:ascii="Calibri" w:hAnsi="Calibri"/>
          <w:b/>
          <w:i w:val="0"/>
          <w:color w:val="1C242D"/>
          <w:sz w:val="18"/>
        </w:rPr>
        <w:t xml:space="preserve">3. National Assembly of Pakistan. </w:t>
      </w:r>
      <w:hyperlink r:id="rId22">
        <w:r>
          <w:rPr>
            <w:color w:val="2E74B5"/>
            <w:u w:val="single"/>
            <w:rFonts w:ascii="Calibri" w:hAnsi="Calibri"/>
            <w:sz w:val="19"/>
          </w:rPr>
          <w:t>Government bills introduced</w:t>
        </w:r>
      </w:hyperlink>
      <w:r>
        <w:rPr>
          <w:rFonts w:ascii="Calibri" w:hAnsi="Calibri"/>
          <w:b w:val="0"/>
          <w:i w:val="0"/>
          <w:color w:val="1C242D"/>
          <w:sz w:val="18"/>
        </w:rPr>
        <w:t>. last updated 25 Aug 2026, 17:43.</w:t>
      </w:r>
    </w:p>
    <w:p>
      <w:pPr>
        <w:pStyle w:val="SourceEntry"/>
      </w:pPr>
      <w:r>
        <w:rPr>
          <w:rFonts w:ascii="Calibri" w:hAnsi="Calibri"/>
          <w:b/>
          <w:i w:val="0"/>
          <w:color w:val="1C242D"/>
          <w:sz w:val="18"/>
        </w:rPr>
        <w:t xml:space="preserve">4. Pakistan Digital Authority. </w:t>
      </w:r>
      <w:hyperlink r:id="rId14">
        <w:r>
          <w:rPr>
            <w:color w:val="2E74B5"/>
            <w:u w:val="single"/>
            <w:rFonts w:ascii="Calibri" w:hAnsi="Calibri"/>
            <w:sz w:val="19"/>
          </w:rPr>
          <w:t>Data Governance Policy consultation concluded</w:t>
        </w:r>
      </w:hyperlink>
      <w:r>
        <w:rPr>
          <w:rFonts w:ascii="Calibri" w:hAnsi="Calibri"/>
          <w:b w:val="0"/>
          <w:i w:val="0"/>
          <w:color w:val="1C242D"/>
          <w:sz w:val="18"/>
        </w:rPr>
        <w:t>. 5 Aug 2026.</w:t>
      </w:r>
    </w:p>
    <w:p>
      <w:pPr>
        <w:pStyle w:val="SourceEntry"/>
      </w:pPr>
      <w:r>
        <w:rPr>
          <w:rFonts w:ascii="Calibri" w:hAnsi="Calibri"/>
          <w:b/>
          <w:i w:val="0"/>
          <w:color w:val="1C242D"/>
          <w:sz w:val="18"/>
        </w:rPr>
        <w:t xml:space="preserve">5. Digital Nation Pakistan. </w:t>
      </w:r>
      <w:hyperlink r:id="rId13">
        <w:r>
          <w:rPr>
            <w:color w:val="2E74B5"/>
            <w:u w:val="single"/>
            <w:rFonts w:ascii="Calibri" w:hAnsi="Calibri"/>
            <w:sz w:val="19"/>
          </w:rPr>
          <w:t>Standards portal</w:t>
        </w:r>
      </w:hyperlink>
      <w:r>
        <w:rPr>
          <w:rFonts w:ascii="Calibri" w:hAnsi="Calibri"/>
          <w:b w:val="0"/>
          <w:i w:val="0"/>
          <w:color w:val="1C242D"/>
          <w:sz w:val="18"/>
        </w:rPr>
        <w:t>. live; inspected 26 Aug 2026.</w:t>
      </w:r>
    </w:p>
    <w:p>
      <w:pPr>
        <w:pStyle w:val="SourceEntry"/>
      </w:pPr>
      <w:r>
        <w:rPr>
          <w:rFonts w:ascii="Calibri" w:hAnsi="Calibri"/>
          <w:b/>
          <w:i w:val="0"/>
          <w:color w:val="1C242D"/>
          <w:sz w:val="18"/>
        </w:rPr>
        <w:t xml:space="preserve">6. PKCERT. </w:t>
      </w:r>
      <w:hyperlink r:id="rId15">
        <w:r>
          <w:rPr>
            <w:color w:val="2E74B5"/>
            <w:u w:val="single"/>
            <w:rFonts w:ascii="Calibri" w:hAnsi="Calibri"/>
            <w:sz w:val="19"/>
          </w:rPr>
          <w:t>2026 advisories</w:t>
        </w:r>
      </w:hyperlink>
      <w:r>
        <w:rPr>
          <w:rFonts w:ascii="Calibri" w:hAnsi="Calibri"/>
          <w:b w:val="0"/>
          <w:i w:val="0"/>
          <w:color w:val="1C242D"/>
          <w:sz w:val="18"/>
        </w:rPr>
        <w:t>. live; inspected 26 Aug 2026.</w:t>
      </w:r>
    </w:p>
    <w:p>
      <w:pPr>
        <w:pStyle w:val="SourceEntry"/>
      </w:pPr>
      <w:r>
        <w:rPr>
          <w:rFonts w:ascii="Calibri" w:hAnsi="Calibri"/>
          <w:b/>
          <w:i w:val="0"/>
          <w:color w:val="1C242D"/>
          <w:sz w:val="18"/>
        </w:rPr>
        <w:t xml:space="preserve">7. PVARA. </w:t>
      </w:r>
      <w:hyperlink r:id="rId23">
        <w:r>
          <w:rPr>
            <w:color w:val="2E74B5"/>
            <w:u w:val="single"/>
            <w:rFonts w:ascii="Calibri" w:hAnsi="Calibri"/>
            <w:sz w:val="19"/>
          </w:rPr>
          <w:t>Regulations</w:t>
        </w:r>
      </w:hyperlink>
      <w:r>
        <w:rPr>
          <w:rFonts w:ascii="Calibri" w:hAnsi="Calibri"/>
          <w:b w:val="0"/>
          <w:i w:val="0"/>
          <w:color w:val="1C242D"/>
          <w:sz w:val="18"/>
        </w:rPr>
        <w:t>. rules notified 21 Aug 2026; page inspected 26 Aug.</w:t>
      </w:r>
    </w:p>
    <w:p>
      <w:pPr>
        <w:pStyle w:val="SourceEntry"/>
      </w:pPr>
      <w:r>
        <w:rPr>
          <w:rFonts w:ascii="Calibri" w:hAnsi="Calibri"/>
          <w:b/>
          <w:i w:val="0"/>
          <w:color w:val="1C242D"/>
          <w:sz w:val="18"/>
        </w:rPr>
        <w:t xml:space="preserve">8. PPRA. </w:t>
      </w:r>
      <w:hyperlink r:id="rId24">
        <w:r>
          <w:rPr>
            <w:color w:val="2E74B5"/>
            <w:u w:val="single"/>
            <w:rFonts w:ascii="Calibri" w:hAnsi="Calibri"/>
            <w:sz w:val="19"/>
          </w:rPr>
          <w:t>Active/recent tenders</w:t>
        </w:r>
      </w:hyperlink>
      <w:r>
        <w:rPr>
          <w:rFonts w:ascii="Calibri" w:hAnsi="Calibri"/>
          <w:b w:val="0"/>
          <w:i w:val="0"/>
          <w:color w:val="1C242D"/>
          <w:sz w:val="18"/>
        </w:rPr>
        <w:t>. live; inspected 26 Aug 2026.</w:t>
      </w:r>
    </w:p>
    <w:p>
      <w:pPr>
        <w:pStyle w:val="SourceEntry"/>
      </w:pPr>
      <w:r>
        <w:rPr>
          <w:rFonts w:ascii="Calibri" w:hAnsi="Calibri"/>
          <w:b/>
          <w:i w:val="0"/>
          <w:color w:val="1C242D"/>
          <w:sz w:val="18"/>
        </w:rPr>
        <w:t xml:space="preserve">9. PPRA. </w:t>
      </w:r>
      <w:hyperlink r:id="rId25">
        <w:r>
          <w:rPr>
            <w:color w:val="2E74B5"/>
            <w:u w:val="single"/>
            <w:rFonts w:ascii="Calibri" w:hAnsi="Calibri"/>
            <w:sz w:val="19"/>
          </w:rPr>
          <w:t>Evaluation results</w:t>
        </w:r>
      </w:hyperlink>
      <w:r>
        <w:rPr>
          <w:rFonts w:ascii="Calibri" w:hAnsi="Calibri"/>
          <w:b w:val="0"/>
          <w:i w:val="0"/>
          <w:color w:val="1C242D"/>
          <w:sz w:val="18"/>
        </w:rPr>
        <w:t>. live; inspected 26 Aug 2026.</w:t>
      </w:r>
    </w:p>
    <w:p>
      <w:pPr>
        <w:pStyle w:val="SourceEntry"/>
      </w:pPr>
      <w:r>
        <w:rPr>
          <w:rFonts w:ascii="Calibri" w:hAnsi="Calibri"/>
          <w:b/>
          <w:i w:val="0"/>
          <w:color w:val="1C242D"/>
          <w:sz w:val="18"/>
        </w:rPr>
        <w:t xml:space="preserve">10. PPRA. </w:t>
      </w:r>
      <w:hyperlink r:id="rId26">
        <w:r>
          <w:rPr>
            <w:color w:val="2E74B5"/>
            <w:u w:val="single"/>
            <w:rFonts w:ascii="Calibri" w:hAnsi="Calibri"/>
            <w:sz w:val="19"/>
          </w:rPr>
          <w:t>Procurement contracts</w:t>
        </w:r>
      </w:hyperlink>
      <w:r>
        <w:rPr>
          <w:rFonts w:ascii="Calibri" w:hAnsi="Calibri"/>
          <w:b w:val="0"/>
          <w:i w:val="0"/>
          <w:color w:val="1C242D"/>
          <w:sz w:val="18"/>
        </w:rPr>
        <w:t>. live; inspected 26 Aug 2026.</w:t>
      </w:r>
    </w:p>
    <w:p>
      <w:pPr>
        <w:pStyle w:val="SourceEntry"/>
      </w:pPr>
      <w:r>
        <w:rPr>
          <w:rFonts w:ascii="Calibri" w:hAnsi="Calibri"/>
          <w:b/>
          <w:i w:val="0"/>
          <w:color w:val="1C242D"/>
          <w:sz w:val="18"/>
        </w:rPr>
        <w:t xml:space="preserve">11. PPRA. </w:t>
      </w:r>
      <w:hyperlink r:id="rId18">
        <w:r>
          <w:rPr>
            <w:color w:val="2E74B5"/>
            <w:u w:val="single"/>
            <w:rFonts w:ascii="Calibri" w:hAnsi="Calibri"/>
            <w:sz w:val="19"/>
          </w:rPr>
          <w:t>NAAI hardware TS0000010938E</w:t>
        </w:r>
      </w:hyperlink>
      <w:r>
        <w:rPr>
          <w:rFonts w:ascii="Calibri" w:hAnsi="Calibri"/>
          <w:b w:val="0"/>
          <w:i w:val="0"/>
          <w:color w:val="1C242D"/>
          <w:sz w:val="18"/>
        </w:rPr>
        <w:t>. advertised/corrigendum 21 Aug 2026.</w:t>
      </w:r>
    </w:p>
    <w:p>
      <w:pPr>
        <w:pStyle w:val="SourceEntry"/>
      </w:pPr>
      <w:r>
        <w:rPr>
          <w:rFonts w:ascii="Calibri" w:hAnsi="Calibri"/>
          <w:b/>
          <w:i w:val="0"/>
          <w:color w:val="1C242D"/>
          <w:sz w:val="18"/>
        </w:rPr>
        <w:t xml:space="preserve">12. PPRA. </w:t>
      </w:r>
      <w:hyperlink r:id="rId27">
        <w:r>
          <w:rPr>
            <w:color w:val="2E74B5"/>
            <w:u w:val="single"/>
            <w:rFonts w:ascii="Calibri" w:hAnsi="Calibri"/>
            <w:sz w:val="19"/>
          </w:rPr>
          <w:t>National AI Hubs TS0000010287E</w:t>
        </w:r>
      </w:hyperlink>
      <w:r>
        <w:rPr>
          <w:rFonts w:ascii="Calibri" w:hAnsi="Calibri"/>
          <w:b w:val="0"/>
          <w:i w:val="0"/>
          <w:color w:val="1C242D"/>
          <w:sz w:val="18"/>
        </w:rPr>
        <w:t>. advertised/corrigendum 18 Aug 2026.</w:t>
      </w:r>
    </w:p>
    <w:p>
      <w:pPr>
        <w:pStyle w:val="SourceEntry"/>
      </w:pPr>
      <w:r>
        <w:rPr>
          <w:rFonts w:ascii="Calibri" w:hAnsi="Calibri"/>
          <w:b/>
          <w:i w:val="0"/>
          <w:color w:val="1C242D"/>
          <w:sz w:val="18"/>
        </w:rPr>
        <w:t xml:space="preserve">13. PPRA. </w:t>
      </w:r>
      <w:hyperlink r:id="rId28">
        <w:r>
          <w:rPr>
            <w:color w:val="2E74B5"/>
            <w:u w:val="single"/>
            <w:rFonts w:ascii="Calibri" w:hAnsi="Calibri"/>
            <w:sz w:val="19"/>
          </w:rPr>
          <w:t>PTA AI-powered DIRBS TS0000011207E</w:t>
        </w:r>
      </w:hyperlink>
      <w:r>
        <w:rPr>
          <w:rFonts w:ascii="Calibri" w:hAnsi="Calibri"/>
          <w:b w:val="0"/>
          <w:i w:val="0"/>
          <w:color w:val="1C242D"/>
          <w:sz w:val="18"/>
        </w:rPr>
        <w:t>. advertised 10 Aug 2026.</w:t>
      </w:r>
    </w:p>
    <w:p>
      <w:pPr>
        <w:pStyle w:val="SourceEntry"/>
      </w:pPr>
      <w:r>
        <w:rPr>
          <w:rFonts w:ascii="Calibri" w:hAnsi="Calibri"/>
          <w:b/>
          <w:i w:val="0"/>
          <w:color w:val="1C242D"/>
          <w:sz w:val="18"/>
        </w:rPr>
        <w:t xml:space="preserve">14. Punjab Information Technology Board. </w:t>
      </w:r>
      <w:hyperlink r:id="rId20">
        <w:r>
          <w:rPr>
            <w:color w:val="2E74B5"/>
            <w:u w:val="single"/>
            <w:rFonts w:ascii="Calibri" w:hAnsi="Calibri"/>
            <w:sz w:val="19"/>
          </w:rPr>
          <w:t>Tender notices</w:t>
        </w:r>
      </w:hyperlink>
      <w:r>
        <w:rPr>
          <w:rFonts w:ascii="Calibri" w:hAnsi="Calibri"/>
          <w:b w:val="0"/>
          <w:i w:val="0"/>
          <w:color w:val="1C242D"/>
          <w:sz w:val="18"/>
        </w:rPr>
        <w:t>. live; inspected 26 Aug 2026.</w:t>
      </w:r>
    </w:p>
    <w:p>
      <w:pPr>
        <w:pStyle w:val="SourceEntry"/>
      </w:pPr>
      <w:r>
        <w:rPr>
          <w:rFonts w:ascii="Calibri" w:hAnsi="Calibri"/>
          <w:b/>
          <w:i w:val="0"/>
          <w:color w:val="1C242D"/>
          <w:sz w:val="18"/>
        </w:rPr>
        <w:t xml:space="preserve">15. Planning Commission. </w:t>
      </w:r>
      <w:hyperlink r:id="rId16">
        <w:r>
          <w:rPr>
            <w:color w:val="2E74B5"/>
            <w:u w:val="single"/>
            <w:rFonts w:ascii="Calibri" w:hAnsi="Calibri"/>
            <w:sz w:val="19"/>
          </w:rPr>
          <w:t>CDWP development-project decision</w:t>
        </w:r>
      </w:hyperlink>
      <w:r>
        <w:rPr>
          <w:rFonts w:ascii="Calibri" w:hAnsi="Calibri"/>
          <w:b w:val="0"/>
          <w:i w:val="0"/>
          <w:color w:val="1C242D"/>
          <w:sz w:val="18"/>
        </w:rPr>
        <w:t>. 25 Jun 2026.</w:t>
      </w:r>
    </w:p>
    <w:p>
      <w:pPr>
        <w:pStyle w:val="SourceEntry"/>
      </w:pPr>
      <w:r>
        <w:rPr>
          <w:rFonts w:ascii="Calibri" w:hAnsi="Calibri"/>
          <w:b/>
          <w:i w:val="0"/>
          <w:color w:val="1C242D"/>
          <w:sz w:val="18"/>
        </w:rPr>
        <w:t xml:space="preserve">16. Press Information Department. </w:t>
      </w:r>
      <w:hyperlink r:id="rId17">
        <w:r>
          <w:rPr>
            <w:color w:val="2E74B5"/>
            <w:u w:val="single"/>
            <w:rFonts w:ascii="Calibri" w:hAnsi="Calibri"/>
            <w:sz w:val="19"/>
          </w:rPr>
          <w:t>Ahsan Iqbal on AI, digital infrastructure and energy</w:t>
        </w:r>
      </w:hyperlink>
      <w:r>
        <w:rPr>
          <w:rFonts w:ascii="Calibri" w:hAnsi="Calibri"/>
          <w:b w:val="0"/>
          <w:i w:val="0"/>
          <w:color w:val="1C242D"/>
          <w:sz w:val="18"/>
        </w:rPr>
        <w:t>. 25 Aug 2026.</w:t>
      </w:r>
    </w:p>
    <w:p>
      <w:pPr>
        <w:pStyle w:val="SourceEntry"/>
      </w:pPr>
      <w:r>
        <w:rPr>
          <w:rFonts w:ascii="Calibri" w:hAnsi="Calibri"/>
          <w:b/>
          <w:i w:val="0"/>
          <w:color w:val="1C242D"/>
          <w:sz w:val="18"/>
        </w:rPr>
        <w:t xml:space="preserve">17. Press Information Department. </w:t>
      </w:r>
      <w:hyperlink r:id="rId29">
        <w:r>
          <w:rPr>
            <w:color w:val="2E74B5"/>
            <w:u w:val="single"/>
            <w:rFonts w:ascii="Calibri" w:hAnsi="Calibri"/>
            <w:sz w:val="19"/>
          </w:rPr>
          <w:t>Google office inauguration</w:t>
        </w:r>
      </w:hyperlink>
      <w:r>
        <w:rPr>
          <w:rFonts w:ascii="Calibri" w:hAnsi="Calibri"/>
          <w:b w:val="0"/>
          <w:i w:val="0"/>
          <w:color w:val="1C242D"/>
          <w:sz w:val="18"/>
        </w:rPr>
        <w:t>. 18 Aug 2026.</w:t>
      </w:r>
    </w:p>
    <w:p>
      <w:pPr>
        <w:pStyle w:val="SourceEntry"/>
      </w:pPr>
      <w:r>
        <w:rPr>
          <w:rFonts w:ascii="Calibri" w:hAnsi="Calibri"/>
          <w:b/>
          <w:i w:val="0"/>
          <w:color w:val="1C242D"/>
          <w:sz w:val="18"/>
        </w:rPr>
        <w:t xml:space="preserve">18. Google. </w:t>
      </w:r>
      <w:hyperlink r:id="rId30">
        <w:r>
          <w:rPr>
            <w:color w:val="2E74B5"/>
            <w:u w:val="single"/>
            <w:rFonts w:ascii="Calibri" w:hAnsi="Calibri"/>
            <w:sz w:val="19"/>
          </w:rPr>
          <w:t>Canonical office locations</w:t>
        </w:r>
      </w:hyperlink>
      <w:r>
        <w:rPr>
          <w:rFonts w:ascii="Calibri" w:hAnsi="Calibri"/>
          <w:b w:val="0"/>
          <w:i w:val="0"/>
          <w:color w:val="1C242D"/>
          <w:sz w:val="18"/>
        </w:rPr>
        <w:t>. live; inspected 26 Aug 2026.</w:t>
      </w:r>
    </w:p>
    <w:p>
      <w:pPr>
        <w:pStyle w:val="SourceEntry"/>
      </w:pPr>
      <w:r>
        <w:rPr>
          <w:rFonts w:ascii="Calibri" w:hAnsi="Calibri"/>
          <w:b/>
          <w:i w:val="0"/>
          <w:color w:val="1C242D"/>
          <w:sz w:val="18"/>
        </w:rPr>
        <w:t xml:space="preserve">19. Google Careers. </w:t>
      </w:r>
      <w:hyperlink r:id="rId31">
        <w:r>
          <w:rPr>
            <w:color w:val="2E74B5"/>
            <w:u w:val="single"/>
            <w:rFonts w:ascii="Calibri" w:hAnsi="Calibri"/>
            <w:sz w:val="19"/>
          </w:rPr>
          <w:t>Locations directory</w:t>
        </w:r>
      </w:hyperlink>
      <w:r>
        <w:rPr>
          <w:rFonts w:ascii="Calibri" w:hAnsi="Calibri"/>
          <w:b w:val="0"/>
          <w:i w:val="0"/>
          <w:color w:val="1C242D"/>
          <w:sz w:val="18"/>
        </w:rPr>
        <w:t>. live; inspected 26 Aug 2026.</w:t>
      </w:r>
    </w:p>
    <w:p>
      <w:pPr>
        <w:pStyle w:val="SourceEntry"/>
      </w:pPr>
      <w:r>
        <w:rPr>
          <w:rFonts w:ascii="Calibri" w:hAnsi="Calibri"/>
          <w:b/>
          <w:i w:val="0"/>
          <w:color w:val="1C242D"/>
          <w:sz w:val="18"/>
        </w:rPr>
        <w:t xml:space="preserve">20. Google Cloud. </w:t>
      </w:r>
      <w:hyperlink r:id="rId32">
        <w:r>
          <w:rPr>
            <w:color w:val="2E74B5"/>
            <w:u w:val="single"/>
            <w:rFonts w:ascii="Calibri" w:hAnsi="Calibri"/>
            <w:sz w:val="19"/>
          </w:rPr>
          <w:t>Cloud locations</w:t>
        </w:r>
      </w:hyperlink>
      <w:r>
        <w:rPr>
          <w:rFonts w:ascii="Calibri" w:hAnsi="Calibri"/>
          <w:b w:val="0"/>
          <w:i w:val="0"/>
          <w:color w:val="1C242D"/>
          <w:sz w:val="18"/>
        </w:rPr>
        <w:t>. live; inspected 26 Aug 2026.</w:t>
      </w:r>
    </w:p>
    <w:p>
      <w:pPr>
        <w:pStyle w:val="SourceEntry"/>
      </w:pPr>
      <w:r>
        <w:rPr>
          <w:rFonts w:ascii="Calibri" w:hAnsi="Calibri"/>
          <w:b/>
          <w:i w:val="0"/>
          <w:color w:val="1C242D"/>
          <w:sz w:val="18"/>
        </w:rPr>
        <w:t xml:space="preserve">21. Google Data Centers. </w:t>
      </w:r>
      <w:hyperlink r:id="rId33">
        <w:r>
          <w:rPr>
            <w:color w:val="2E74B5"/>
            <w:u w:val="single"/>
            <w:rFonts w:ascii="Calibri" w:hAnsi="Calibri"/>
            <w:sz w:val="19"/>
          </w:rPr>
          <w:t>Owned data-centre locations</w:t>
        </w:r>
      </w:hyperlink>
      <w:r>
        <w:rPr>
          <w:rFonts w:ascii="Calibri" w:hAnsi="Calibri"/>
          <w:b w:val="0"/>
          <w:i w:val="0"/>
          <w:color w:val="1C242D"/>
          <w:sz w:val="18"/>
        </w:rPr>
        <w:t>. live; inspected 26 Aug 2026.</w:t>
      </w:r>
    </w:p>
    <w:p>
      <w:pPr>
        <w:pStyle w:val="SourceEntry"/>
      </w:pPr>
      <w:r>
        <w:rPr>
          <w:rFonts w:ascii="Calibri" w:hAnsi="Calibri"/>
          <w:b/>
          <w:i w:val="0"/>
          <w:color w:val="1C242D"/>
          <w:sz w:val="18"/>
        </w:rPr>
        <w:t xml:space="preserve">22. Sindh Science &amp; IT Department. </w:t>
      </w:r>
      <w:hyperlink r:id="rId21">
        <w:r>
          <w:rPr>
            <w:color w:val="2E74B5"/>
            <w:u w:val="single"/>
            <w:rFonts w:ascii="Calibri" w:hAnsi="Calibri"/>
            <w:sz w:val="19"/>
          </w:rPr>
          <w:t>Homepage and current notices</w:t>
        </w:r>
      </w:hyperlink>
      <w:r>
        <w:rPr>
          <w:rFonts w:ascii="Calibri" w:hAnsi="Calibri"/>
          <w:b w:val="0"/>
          <w:i w:val="0"/>
          <w:color w:val="1C242D"/>
          <w:sz w:val="18"/>
        </w:rPr>
        <w:t>. live; inspected 26 Aug 2026.</w:t>
      </w:r>
    </w:p>
    <w:p>
      <w:pPr>
        <w:spacing w:before="160"/>
      </w:pPr>
      <w:r>
        <w:rPr>
          <w:rFonts w:ascii="Calibri" w:hAnsi="Calibri"/>
          <w:b/>
          <w:i w:val="0"/>
          <w:color w:val="5C6570"/>
          <w:sz w:val="17"/>
        </w:rPr>
        <w:t xml:space="preserve">Method note: </w:t>
      </w:r>
      <w:r>
        <w:rPr>
          <w:rFonts w:ascii="Calibri" w:hAnsi="Calibri"/>
          <w:b w:val="0"/>
          <w:i w:val="0"/>
          <w:color w:val="5C6570"/>
          <w:sz w:val="17"/>
        </w:rPr>
        <w:t>All consequential claims were checked against primary registers or direct institutional publications where available. Confidence describes evidence quality, not importance. “No material change” means no public evidence was authenticated by the cutoff; it does not prove that no internal or unpublished activity occurred.</w:t>
      </w:r>
    </w:p>
    <w:sectPr w:rsidR="00FC693F" w:rsidRPr="0006063C" w:rsidSect="00034616">
      <w:headerReference w:type="default" r:id="rId9"/>
      <w:footerReference w:type="default" r:id="rId10"/>
      <w:pgSz w:w="12240" w:h="15840"/>
      <w:pgMar w:top="1123" w:right="1238" w:bottom="1037" w:left="1238"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C6570"/>
        <w:sz w:val="17"/>
      </w:rPr>
      <w:t xml:space="preserve">26 August 2026  |  Page </w:t>
    </w:r>
    <w:r>
      <w:rPr>
        <w:rFonts w:ascii="Calibri" w:hAnsi="Calibri"/>
        <w:b w:val="0"/>
        <w:i w:val="0"/>
        <w:color w:val="5C657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b/>
        <w:i w:val="0"/>
        <w:color w:val="5C6570"/>
        <w:sz w:val="16"/>
      </w:rPr>
      <w:t>PAKISTAN AI POLICY MONITOR  |  DAILY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Calibri" w:hAnsi="Calibri"/>
      <w:color w:val="1C24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ind w:left="691" w:hanging="33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ind w:left="691" w:hanging="33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Entry">
    <w:name w:val="Source Entry"/>
    <w:basedOn w:val="Normal"/>
    <w:pPr>
      <w:spacing w:after="60" w:line="240" w:lineRule="auto"/>
      <w:ind w:left="360" w:hanging="36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oitt.gov.pk/Policies" TargetMode="External"/><Relationship Id="rId12" Type="http://schemas.openxmlformats.org/officeDocument/2006/relationships/hyperlink" Target="https://www.na.gov.pk/en/acts.php" TargetMode="External"/><Relationship Id="rId13" Type="http://schemas.openxmlformats.org/officeDocument/2006/relationships/hyperlink" Target="https://standards.dnp.gov.pk/" TargetMode="External"/><Relationship Id="rId14" Type="http://schemas.openxmlformats.org/officeDocument/2006/relationships/hyperlink" Target="https://pda.gov.pk/press-details.php?id=pda-dgp-consultation" TargetMode="External"/><Relationship Id="rId15" Type="http://schemas.openxmlformats.org/officeDocument/2006/relationships/hyperlink" Target="https://pkcert.gov.pk/advisories.asp" TargetMode="External"/><Relationship Id="rId16" Type="http://schemas.openxmlformats.org/officeDocument/2006/relationships/hyperlink" Target="https://www.pc.gov.pk/web/press/get_press/1702" TargetMode="External"/><Relationship Id="rId17" Type="http://schemas.openxmlformats.org/officeDocument/2006/relationships/hyperlink" Target="https://pid.gov.pk/site/press_detail/33712" TargetMode="External"/><Relationship Id="rId18" Type="http://schemas.openxmlformats.org/officeDocument/2006/relationships/hyperlink" Target="https://epms.ppra.gov.pk/public/tenders/tender-details/TS0000010938E" TargetMode="External"/><Relationship Id="rId19" Type="http://schemas.openxmlformats.org/officeDocument/2006/relationships/hyperlink" Target="https://pid.gov.pk/site/press/3" TargetMode="External"/><Relationship Id="rId20" Type="http://schemas.openxmlformats.org/officeDocument/2006/relationships/hyperlink" Target="https://pitb.gov.pk/tendernotices" TargetMode="External"/><Relationship Id="rId21" Type="http://schemas.openxmlformats.org/officeDocument/2006/relationships/hyperlink" Target="https://istd.sindh.gov.pk/" TargetMode="External"/><Relationship Id="rId22" Type="http://schemas.openxmlformats.org/officeDocument/2006/relationships/hyperlink" Target="https://www.na.gov.pk/en/bills.php?type=1" TargetMode="External"/><Relationship Id="rId23" Type="http://schemas.openxmlformats.org/officeDocument/2006/relationships/hyperlink" Target="https://www.pvara.gov.pk/regulations" TargetMode="External"/><Relationship Id="rId24" Type="http://schemas.openxmlformats.org/officeDocument/2006/relationships/hyperlink" Target="https://epms.ppra.gov.pk/public/tenders/active-tenders?page=1" TargetMode="External"/><Relationship Id="rId25" Type="http://schemas.openxmlformats.org/officeDocument/2006/relationships/hyperlink" Target="https://epms.ppra.gov.pk/public/evaluations?page=1" TargetMode="External"/><Relationship Id="rId26" Type="http://schemas.openxmlformats.org/officeDocument/2006/relationships/hyperlink" Target="https://epms.ppra.gov.pk/public/contracts?page=1" TargetMode="External"/><Relationship Id="rId27" Type="http://schemas.openxmlformats.org/officeDocument/2006/relationships/hyperlink" Target="https://epms.ppra.gov.pk/public/tenders/tender-details/TS0000010287E" TargetMode="External"/><Relationship Id="rId28" Type="http://schemas.openxmlformats.org/officeDocument/2006/relationships/hyperlink" Target="https://epms.ppra.gov.pk/public/tenders/tender-details/TS0000011207E" TargetMode="External"/><Relationship Id="rId29" Type="http://schemas.openxmlformats.org/officeDocument/2006/relationships/hyperlink" Target="https://pid.gov.pk/site/press_detail/33638" TargetMode="External"/><Relationship Id="rId30" Type="http://schemas.openxmlformats.org/officeDocument/2006/relationships/hyperlink" Target="https://about.google/company-info/locations/" TargetMode="External"/><Relationship Id="rId31" Type="http://schemas.openxmlformats.org/officeDocument/2006/relationships/hyperlink" Target="https://www.google.com/about/careers/applications/locations/" TargetMode="External"/><Relationship Id="rId32" Type="http://schemas.openxmlformats.org/officeDocument/2006/relationships/hyperlink" Target="https://cloud.google.com/about/locations" TargetMode="External"/><Relationship Id="rId33" Type="http://schemas.openxmlformats.org/officeDocument/2006/relationships/hyperlink" Target="https://datacenters.google/lo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AI Policy &amp; Infrastructure Daily Brief — 26 August 2026</dc:title>
  <dc:subject>Strict post-cutoff monitoring of Pakistan AI policy, data regulation, cybersecurity, infrastructure and investment</dc:subject>
  <dc:creator>Pakistan AI Policy Monitor</dc:creator>
  <cp:keywords>Pakistan, artificial intelligence, data protection, cybersecurity, cloud, data centers, policy</cp:keywords>
  <dc:description>generated by python-docx</dc:description>
  <cp:lastModifiedBy/>
  <cp:revision>1</cp:revision>
  <dcterms:created xsi:type="dcterms:W3CDTF">2013-12-23T23:15:00Z</dcterms:created>
  <dcterms:modified xsi:type="dcterms:W3CDTF">2013-12-23T23:15:00Z</dcterms:modified>
  <cp:category/>
</cp:coreProperties>
</file>