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Label"/>
        <w:spacing w:before="240"/>
      </w:pPr>
      <w:r>
        <w:t>PAKISTAN  /  AI POLICY  /  DIGITAL INFRASTRUCTURE</w:t>
      </w:r>
    </w:p>
    <w:p>
      <w:pPr>
        <w:spacing w:after="100"/>
      </w:pPr>
      <w:r>
        <w:rPr>
          <w:rFonts w:ascii="Calibri" w:hAnsi="Calibri"/>
          <w:b/>
          <w:color w:val="172B3A"/>
          <w:sz w:val="48"/>
        </w:rPr>
        <w:t>Pakistan AI Policy &amp; Infrastructure</w:t>
      </w:r>
    </w:p>
    <w:p>
      <w:pPr>
        <w:spacing w:after="240"/>
      </w:pPr>
      <w:r>
        <w:rPr>
          <w:rFonts w:ascii="Calibri" w:hAnsi="Calibri"/>
          <w:b/>
          <w:color w:val="2E74B5"/>
          <w:sz w:val="36"/>
        </w:rPr>
        <w:t>Daily Brief — 28 August 2026</w:t>
      </w:r>
    </w:p>
    <w:p>
      <w:pPr>
        <w:spacing w:after="40"/>
      </w:pPr>
      <w:r>
        <w:rPr>
          <w:rFonts w:ascii="Calibri" w:hAnsi="Calibri"/>
          <w:b/>
          <w:color w:val="000000"/>
          <w:sz w:val="21"/>
        </w:rPr>
        <w:t xml:space="preserve">Coverage: </w:t>
      </w:r>
      <w:r>
        <w:rPr>
          <w:rFonts w:ascii="Calibri" w:hAnsi="Calibri"/>
          <w:color w:val="000000"/>
          <w:sz w:val="21"/>
        </w:rPr>
        <w:t>Since the previous cutoff at 14:37 UTC / 19:37 PKT; research checked through approximately 14:52 UTC / 19:52 PKT</w:t>
      </w:r>
    </w:p>
    <w:p>
      <w:pPr>
        <w:spacing w:after="40"/>
      </w:pPr>
      <w:r>
        <w:rPr>
          <w:rFonts w:ascii="Calibri" w:hAnsi="Calibri"/>
          <w:b/>
          <w:color w:val="000000"/>
          <w:sz w:val="21"/>
        </w:rPr>
        <w:t xml:space="preserve">Geography: </w:t>
      </w:r>
      <w:r>
        <w:rPr>
          <w:rFonts w:ascii="Calibri" w:hAnsi="Calibri"/>
          <w:color w:val="000000"/>
          <w:sz w:val="21"/>
        </w:rPr>
        <w:t>Pakistan — federal, provincial and material private-sector activity</w:t>
      </w:r>
    </w:p>
    <w:p>
      <w:pPr>
        <w:spacing w:after="40"/>
      </w:pPr>
      <w:r>
        <w:rPr>
          <w:rFonts w:ascii="Calibri" w:hAnsi="Calibri"/>
          <w:b/>
          <w:color w:val="000000"/>
          <w:sz w:val="21"/>
        </w:rPr>
        <w:t xml:space="preserve">Assessment: </w:t>
      </w:r>
      <w:r>
        <w:rPr>
          <w:rFonts w:ascii="Calibri" w:hAnsi="Calibri"/>
          <w:color w:val="000000"/>
          <w:sz w:val="21"/>
        </w:rPr>
        <w:t>No material authenticated post-cutoff development; one unclassified PPRA register movement</w:t>
      </w:r>
    </w:p>
    <w:p>
      <w:pPr>
        <w:spacing w:after="40"/>
      </w:pPr>
      <w:r>
        <w:rPr>
          <w:rFonts w:ascii="Calibri" w:hAnsi="Calibri"/>
          <w:b/>
          <w:color w:val="000000"/>
          <w:sz w:val="21"/>
        </w:rPr>
        <w:t xml:space="preserve">Overall confidence: </w:t>
      </w:r>
      <w:r>
        <w:rPr>
          <w:rFonts w:ascii="Calibri" w:hAnsi="Calibri"/>
          <w:color w:val="000000"/>
          <w:sz w:val="21"/>
        </w:rPr>
        <w:t>Medium-high</w:t>
      </w:r>
    </w:p>
    <w:p>
      <w:pPr>
        <w:shd w:fill="E8EEF5"/>
        <w:pBdr>
          <w:left w:val="single" w:sz="14" w:space="8" w:color="2E74B5"/>
        </w:pBdr>
        <w:spacing w:before="80" w:after="160"/>
        <w:ind w:left="173" w:right="115"/>
      </w:pPr>
      <w:r>
        <w:rPr>
          <w:rFonts w:ascii="Calibri" w:hAnsi="Calibri"/>
          <w:b/>
          <w:color w:val="1F4D78"/>
          <w:sz w:val="22"/>
        </w:rPr>
        <w:t xml:space="preserve">Bottom line. </w:t>
      </w:r>
      <w:r>
        <w:rPr>
          <w:rFonts w:ascii="Calibri" w:hAnsi="Calibri"/>
          <w:color w:val="172B3A"/>
          <w:sz w:val="22"/>
        </w:rPr>
        <w:t>No new law, notified policy, procurement award, commissioned infrastructure, realised investment, Google operating milestone or provincial implementation event was authenticated in the 15-minute comparison window. The live PPRA active/recent count increased by one, but the portal does not expose a reliable upload timestamp and no monitored procurement advanced.</w:t>
      </w:r>
    </w:p>
    <w:p>
      <w:pPr>
        <w:pStyle w:val="Heading1"/>
        <w:keepNext/>
      </w:pPr>
      <w:r>
        <w:t>1. Executive summary</w:t>
      </w:r>
    </w:p>
    <w:p>
      <w:pPr>
        <w:pStyle w:val="ListBullet"/>
      </w:pPr>
      <w:r>
        <w:rPr>
          <w:rFonts w:ascii="Calibri" w:hAnsi="Calibri"/>
          <w:b/>
          <w:color w:val="172B3A"/>
          <w:sz w:val="22"/>
        </w:rPr>
        <w:t>No material strict-window delta.</w:t>
      </w:r>
      <w:r>
        <w:rPr>
          <w:rFonts w:ascii="Calibri" w:hAnsi="Calibri"/>
          <w:color w:val="000000"/>
          <w:sz w:val="22"/>
        </w:rPr>
        <w:t xml:space="preserve"> Searches across official policy, parliamentary, standards, cybersecurity, procurement, company and provincial sources produced no authenticated post-14:37 UTC implementation milestone. Confidence: medium-high.</w:t>
      </w:r>
    </w:p>
    <w:p>
      <w:pPr>
        <w:pStyle w:val="ListBullet"/>
      </w:pPr>
      <w:r>
        <w:rPr>
          <w:rFonts w:ascii="Calibri" w:hAnsi="Calibri"/>
          <w:b/>
          <w:color w:val="172B3A"/>
          <w:sz w:val="22"/>
        </w:rPr>
        <w:t>Policy status is unchanged.</w:t>
      </w:r>
      <w:r>
        <w:rPr>
          <w:rFonts w:ascii="Calibri" w:hAnsi="Calibri"/>
          <w:color w:val="000000"/>
          <w:sz w:val="22"/>
        </w:rPr>
        <w:t xml:space="preserve"> The National AI Policy remains approved, but no AI Council/Directorate instrument, sandbox rule, public AI register, impact-assessment framework or funded compute-grid implementation document surfaced. Confidence: high on current status.</w:t>
      </w:r>
    </w:p>
    <w:p>
      <w:pPr>
        <w:pStyle w:val="ListBullet"/>
      </w:pPr>
      <w:r>
        <w:rPr>
          <w:rFonts w:ascii="Calibri" w:hAnsi="Calibri"/>
          <w:b/>
          <w:color w:val="172B3A"/>
          <w:sz w:val="22"/>
        </w:rPr>
        <w:t>No new general data obligation.</w:t>
      </w:r>
      <w:r>
        <w:rPr>
          <w:rFonts w:ascii="Calibri" w:hAnsi="Calibri"/>
          <w:color w:val="000000"/>
          <w:sz w:val="22"/>
        </w:rPr>
        <w:t xml:space="preserve"> The Data Governance Policy 2026 remains draft/finalisation-stage; no enacted horizontal personal-data law or authenticated successor text appeared. DNP remains at four Pilot publications and PKCERT remains topped by Advisory 17. Confidence: high on inspected registers.</w:t>
      </w:r>
    </w:p>
    <w:p>
      <w:pPr>
        <w:pStyle w:val="ListBullet"/>
      </w:pPr>
      <w:r>
        <w:rPr>
          <w:rFonts w:ascii="Calibri" w:hAnsi="Calibri"/>
          <w:b/>
          <w:color w:val="172B3A"/>
          <w:sz w:val="22"/>
        </w:rPr>
        <w:t>Procurement movement did not translate into delivery.</w:t>
      </w:r>
      <w:r>
        <w:rPr>
          <w:rFonts w:ascii="Calibri" w:hAnsi="Calibri"/>
          <w:color w:val="000000"/>
          <w:sz w:val="22"/>
        </w:rPr>
        <w:t xml:space="preserve"> PPRA moved from 1,895 to 1,896 active/recent tenders; evaluations remained 2,832 and contracts 543. No monitored AI/cloud/data-centre award, contract, notice to proceed, acceptance or live service was found. Confidence: high on counts, medium on exact row timing.</w:t>
      </w:r>
    </w:p>
    <w:p>
      <w:pPr>
        <w:pStyle w:val="ListBullet"/>
      </w:pPr>
      <w:r>
        <w:rPr>
          <w:rFonts w:ascii="Calibri" w:hAnsi="Calibri"/>
          <w:b/>
          <w:color w:val="172B3A"/>
          <w:sz w:val="22"/>
        </w:rPr>
        <w:t>Infrastructure evidence remains announcement-heavy.</w:t>
      </w:r>
      <w:r>
        <w:rPr>
          <w:rFonts w:ascii="Calibri" w:hAnsi="Calibri"/>
          <w:color w:val="000000"/>
          <w:sz w:val="22"/>
        </w:rPr>
        <w:t xml:space="preserve"> No usable accelerator inventory, cloud region/edge/interconnect/cache, independently measured 5G quality, commissioned facility capacity or site-specific energy instrument appeared. Jazz’s 1,000-site statement remains a 27 August company-reported carry-in, not new independent evidence.</w:t>
      </w:r>
    </w:p>
    <w:p>
      <w:pPr>
        <w:pStyle w:val="ListBullet"/>
      </w:pPr>
      <w:r>
        <w:rPr>
          <w:rFonts w:ascii="Calibri" w:hAnsi="Calibri"/>
          <w:b/>
          <w:color w:val="172B3A"/>
          <w:sz w:val="22"/>
        </w:rPr>
        <w:t>Google and provinces produced no qualifying update.</w:t>
      </w:r>
      <w:r>
        <w:rPr>
          <w:rFonts w:ascii="Calibri" w:hAnsi="Calibri"/>
          <w:color w:val="000000"/>
          <w:sz w:val="22"/>
        </w:rPr>
        <w:t xml:space="preserve"> Google’s canonical office and infrastructure directories still do not list Pakistan; same-day provincial material lacks a reliable post-cutoff timestamp or operative instrument. The standalone Google section is omitted under the monitoring rule.</w:t>
      </w:r>
    </w:p>
    <w:p>
      <w:pPr>
        <w:pStyle w:val="Heading1"/>
        <w:keepNext/>
      </w:pPr>
      <w:r>
        <w:t>2. Policy, regulation, and governance</w:t>
      </w:r>
    </w:p>
    <w:p>
      <w:pPr>
        <w:pStyle w:val="Heading2"/>
        <w:keepNext/>
      </w:pPr>
      <w:r>
        <w:t>National AI Policy: approved policy, no new implementation instrument</w:t>
      </w:r>
    </w:p>
    <w:p>
      <w:r>
        <w:rPr>
          <w:rFonts w:ascii="Calibri" w:hAnsi="Calibri"/>
          <w:b/>
          <w:color w:val="172B3A"/>
          <w:sz w:val="22"/>
        </w:rPr>
        <w:t xml:space="preserve">Development: </w:t>
      </w:r>
      <w:r>
        <w:rPr>
          <w:rFonts w:ascii="Calibri" w:hAnsi="Calibri"/>
          <w:sz w:val="22"/>
        </w:rPr>
        <w:t xml:space="preserve">No post-cutoff change. </w:t>
      </w:r>
      <w:r>
        <w:rPr>
          <w:rFonts w:ascii="Calibri" w:hAnsi="Calibri"/>
          <w:b/>
          <w:color w:val="172B3A"/>
          <w:sz w:val="22"/>
        </w:rPr>
        <w:t xml:space="preserve">Status: </w:t>
      </w:r>
      <w:r>
        <w:rPr>
          <w:rFonts w:ascii="Calibri" w:hAnsi="Calibri"/>
          <w:sz w:val="22"/>
        </w:rPr>
        <w:t xml:space="preserve">Approved policy; implementation instruments not authenticated in this window. </w:t>
      </w:r>
      <w:r>
        <w:rPr>
          <w:rFonts w:ascii="Calibri" w:hAnsi="Calibri"/>
          <w:b/>
          <w:color w:val="172B3A"/>
          <w:sz w:val="22"/>
        </w:rPr>
        <w:t xml:space="preserve">Institution/location: </w:t>
      </w:r>
      <w:r>
        <w:rPr>
          <w:rFonts w:ascii="Calibri" w:hAnsi="Calibri"/>
          <w:sz w:val="22"/>
        </w:rPr>
        <w:t xml:space="preserve">Ministry of Information Technology and Telecommunication, federal/Islamabad. </w:t>
      </w:r>
    </w:p>
    <w:p>
      <w:r>
        <w:rPr>
          <w:rFonts w:ascii="Calibri" w:hAnsi="Calibri"/>
          <w:b/>
          <w:color w:val="172B3A"/>
          <w:sz w:val="22"/>
        </w:rPr>
        <w:t xml:space="preserve">Evidence. </w:t>
      </w:r>
      <w:r>
        <w:rPr>
          <w:rFonts w:ascii="Calibri" w:hAnsi="Calibri"/>
          <w:sz w:val="22"/>
        </w:rPr>
        <w:t xml:space="preserve">MoITT’s live policy register continues to label the National Artificial Intelligence Policy “Approved” with an approval date of 31 July 2025. No new Council, Directorate, Centre of Excellence, sandbox, registry, audit, procurement or compute-grid implementing text surfaced after the previous cutoff. </w:t>
      </w:r>
      <w:hyperlink r:id="rId11">
        <w:r>
          <w:rPr>
            <w:rFonts w:ascii="Calibri" w:hAnsi="Calibri"/>
            <w:color w:val="2E74B5"/>
            <w:u w:val="none"/>
          </w:rPr>
          <w:t>MoITT policy register</w:t>
        </w:r>
      </w:hyperlink>
      <w:r>
        <w:rPr>
          <w:rFonts w:ascii="Calibri" w:hAnsi="Calibri"/>
          <w:sz w:val="22"/>
        </w:rPr>
        <w:t>.</w:t>
      </w:r>
    </w:p>
    <w:p>
      <w:r>
        <w:rPr>
          <w:rFonts w:ascii="Calibri" w:hAnsi="Calibri"/>
          <w:b/>
          <w:color w:val="172B3A"/>
          <w:sz w:val="22"/>
        </w:rPr>
        <w:t xml:space="preserve">What changed. </w:t>
      </w:r>
      <w:r>
        <w:rPr>
          <w:rFonts w:ascii="Calibri" w:hAnsi="Calibri"/>
          <w:sz w:val="22"/>
        </w:rPr>
        <w:t xml:space="preserve">Nothing authenticated. Same-day reporting about sandboxes and a national compute grid remains planning-level description based on ministry documents, not a published rule, allocation, capacity schedule or operational service. </w:t>
      </w:r>
      <w:r>
        <w:rPr>
          <w:rFonts w:ascii="Calibri" w:hAnsi="Calibri"/>
          <w:b/>
          <w:color w:val="172B3A"/>
          <w:sz w:val="22"/>
        </w:rPr>
        <w:t xml:space="preserve">Why it matters. </w:t>
      </w:r>
      <w:r>
        <w:rPr>
          <w:rFonts w:ascii="Calibri" w:hAnsi="Calibri"/>
          <w:sz w:val="22"/>
        </w:rPr>
        <w:t xml:space="preserve">Companies and public bodies still lack the operative detail needed to know eligibility, testing safeguards, audit scope, liability, data-access terms or enforceable deadlines. </w:t>
      </w:r>
      <w:r>
        <w:rPr>
          <w:rFonts w:ascii="Calibri" w:hAnsi="Calibri"/>
          <w:b/>
          <w:color w:val="2F6B4F"/>
          <w:sz w:val="22"/>
        </w:rPr>
        <w:t>Confidence: high.</w:t>
      </w:r>
    </w:p>
    <w:p>
      <w:pPr>
        <w:pStyle w:val="Heading2"/>
        <w:keepNext/>
      </w:pPr>
      <w:r>
        <w:t>Telecom amendment withdrawn; replacement remains only announced</w:t>
      </w:r>
    </w:p>
    <w:p>
      <w:r>
        <w:rPr>
          <w:rFonts w:ascii="Calibri" w:hAnsi="Calibri"/>
          <w:b/>
          <w:color w:val="172B3A"/>
          <w:sz w:val="22"/>
        </w:rPr>
        <w:t xml:space="preserve">Development. </w:t>
      </w:r>
      <w:r>
        <w:rPr>
          <w:rFonts w:ascii="Calibri" w:hAnsi="Calibri"/>
          <w:sz w:val="22"/>
        </w:rPr>
        <w:t xml:space="preserve">No replacement bill text, introduction, referral or approval surfaced. </w:t>
      </w:r>
      <w:r>
        <w:rPr>
          <w:rFonts w:ascii="Calibri" w:hAnsi="Calibri"/>
          <w:b/>
          <w:color w:val="172B3A"/>
          <w:sz w:val="22"/>
        </w:rPr>
        <w:t xml:space="preserve">Status. </w:t>
      </w:r>
      <w:r>
        <w:rPr>
          <w:rFonts w:ascii="Calibri" w:hAnsi="Calibri"/>
          <w:sz w:val="22"/>
        </w:rPr>
        <w:t xml:space="preserve">Withdrawn bill; replacement announced/planned, with no operative effect. </w:t>
      </w:r>
      <w:r>
        <w:rPr>
          <w:rFonts w:ascii="Calibri" w:hAnsi="Calibri"/>
          <w:b/>
          <w:color w:val="172B3A"/>
          <w:sz w:val="22"/>
        </w:rPr>
        <w:t xml:space="preserve">Institution. </w:t>
      </w:r>
      <w:r>
        <w:rPr>
          <w:rFonts w:ascii="Calibri" w:hAnsi="Calibri"/>
          <w:sz w:val="22"/>
        </w:rPr>
        <w:t>Parliament/MoITT, Islamabad.</w:t>
      </w:r>
    </w:p>
    <w:p>
      <w:r>
        <w:rPr>
          <w:rFonts w:ascii="Calibri" w:hAnsi="Calibri"/>
          <w:b/>
          <w:color w:val="172B3A"/>
          <w:sz w:val="22"/>
        </w:rPr>
        <w:t xml:space="preserve">Evidence. </w:t>
      </w:r>
      <w:r>
        <w:rPr>
          <w:rFonts w:ascii="Calibri" w:hAnsi="Calibri"/>
          <w:sz w:val="22"/>
        </w:rPr>
        <w:t xml:space="preserve">The official account dated 28 August explains withdrawal and an intention to bring a fresh draft. It does not publish replacement text or create obligations. </w:t>
      </w:r>
      <w:hyperlink r:id="rId12">
        <w:r>
          <w:rPr>
            <w:rFonts w:ascii="Calibri" w:hAnsi="Calibri"/>
            <w:color w:val="2E74B5"/>
            <w:u w:val="none"/>
          </w:rPr>
          <w:t>PID PR No. 318 (28 August 2026)</w:t>
        </w:r>
      </w:hyperlink>
      <w:r>
        <w:rPr>
          <w:rFonts w:ascii="Calibri" w:hAnsi="Calibri"/>
          <w:sz w:val="22"/>
        </w:rPr>
        <w:t xml:space="preserve">. </w:t>
      </w:r>
      <w:r>
        <w:rPr>
          <w:rFonts w:ascii="Calibri" w:hAnsi="Calibri"/>
          <w:b/>
          <w:color w:val="172B3A"/>
          <w:sz w:val="22"/>
        </w:rPr>
        <w:t xml:space="preserve">Why it matters. </w:t>
      </w:r>
      <w:r>
        <w:rPr>
          <w:rFonts w:ascii="Calibri" w:hAnsi="Calibri"/>
          <w:sz w:val="22"/>
        </w:rPr>
        <w:t>Right-of-way and property-access questions remain unresolved, including consent, compensation, fees, appeal rights and the responsible implementation authority. Confidence: high on withdrawal/current legal effect; medium on publication timing of mutable registers.</w:t>
      </w:r>
    </w:p>
    <w:p>
      <w:pPr>
        <w:pStyle w:val="Heading1"/>
        <w:keepNext/>
      </w:pPr>
      <w:r>
        <w:t>3. Data regulation, digital policy, and cybersecurity</w:t>
      </w:r>
    </w:p>
    <w:p>
      <w:pPr>
        <w:pStyle w:val="Heading2"/>
        <w:keepNext/>
      </w:pPr>
      <w:r>
        <w:t>Data Governance Policy 2026 remains draft/finalisation-stage</w:t>
      </w:r>
    </w:p>
    <w:p>
      <w:r>
        <w:rPr>
          <w:rFonts w:ascii="Calibri" w:hAnsi="Calibri"/>
          <w:b/>
          <w:color w:val="172B3A"/>
          <w:sz w:val="22"/>
        </w:rPr>
        <w:t xml:space="preserve">Development. </w:t>
      </w:r>
      <w:r>
        <w:rPr>
          <w:rFonts w:ascii="Calibri" w:hAnsi="Calibri"/>
          <w:sz w:val="22"/>
        </w:rPr>
        <w:t xml:space="preserve">No notification, final text or commencement instrument appeared. </w:t>
      </w:r>
      <w:r>
        <w:rPr>
          <w:rFonts w:ascii="Calibri" w:hAnsi="Calibri"/>
          <w:b/>
          <w:color w:val="172B3A"/>
          <w:sz w:val="22"/>
        </w:rPr>
        <w:t xml:space="preserve">Status. </w:t>
      </w:r>
      <w:r>
        <w:rPr>
          <w:rFonts w:ascii="Calibri" w:hAnsi="Calibri"/>
          <w:sz w:val="22"/>
        </w:rPr>
        <w:t xml:space="preserve">Draft; consultation concluded and feedback incorporation stated. </w:t>
      </w:r>
      <w:r>
        <w:rPr>
          <w:rFonts w:ascii="Calibri" w:hAnsi="Calibri"/>
          <w:b/>
          <w:color w:val="172B3A"/>
          <w:sz w:val="22"/>
        </w:rPr>
        <w:t xml:space="preserve">Institution/location. </w:t>
      </w:r>
      <w:r>
        <w:rPr>
          <w:rFonts w:ascii="Calibri" w:hAnsi="Calibri"/>
          <w:sz w:val="22"/>
        </w:rPr>
        <w:t>Pakistan Digital Authority and MoITT, Islamabad.</w:t>
      </w:r>
    </w:p>
    <w:p>
      <w:r>
        <w:rPr>
          <w:rFonts w:ascii="Calibri" w:hAnsi="Calibri"/>
          <w:b/>
          <w:color w:val="172B3A"/>
          <w:sz w:val="22"/>
        </w:rPr>
        <w:t xml:space="preserve">Evidence. </w:t>
      </w:r>
      <w:r>
        <w:rPr>
          <w:rFonts w:ascii="Calibri" w:hAnsi="Calibri"/>
          <w:sz w:val="22"/>
        </w:rPr>
        <w:t xml:space="preserve">PDA’s 5 August release says the policy moved to the final stage but also says PDA will incorporate stakeholder feedback before finalising it. The MoITT register still labels it Draft. </w:t>
      </w:r>
      <w:hyperlink r:id="rId13">
        <w:r>
          <w:rPr>
            <w:rFonts w:ascii="Calibri" w:hAnsi="Calibri"/>
            <w:color w:val="2E74B5"/>
            <w:u w:val="none"/>
          </w:rPr>
          <w:t>PDA consultation conclusion (5 August 2026)</w:t>
        </w:r>
      </w:hyperlink>
      <w:r>
        <w:rPr>
          <w:rFonts w:ascii="Calibri" w:hAnsi="Calibri"/>
          <w:sz w:val="22"/>
        </w:rPr>
        <w:t xml:space="preserve">; </w:t>
      </w:r>
      <w:hyperlink r:id="rId11">
        <w:r>
          <w:rPr>
            <w:rFonts w:ascii="Calibri" w:hAnsi="Calibri"/>
            <w:color w:val="2E74B5"/>
            <w:u w:val="none"/>
          </w:rPr>
          <w:t>MoITT policy register</w:t>
        </w:r>
      </w:hyperlink>
      <w:r>
        <w:rPr>
          <w:rFonts w:ascii="Calibri" w:hAnsi="Calibri"/>
          <w:sz w:val="22"/>
        </w:rPr>
        <w:t>.</w:t>
      </w:r>
    </w:p>
    <w:p>
      <w:r>
        <w:rPr>
          <w:rFonts w:ascii="Calibri" w:hAnsi="Calibri"/>
          <w:b/>
          <w:color w:val="172B3A"/>
          <w:sz w:val="22"/>
        </w:rPr>
        <w:t xml:space="preserve">What changed. </w:t>
      </w:r>
      <w:r>
        <w:rPr>
          <w:rFonts w:ascii="Calibri" w:hAnsi="Calibri"/>
          <w:sz w:val="22"/>
        </w:rPr>
        <w:t xml:space="preserve">Nothing after the cutoff. </w:t>
      </w:r>
      <w:r>
        <w:rPr>
          <w:rFonts w:ascii="Calibri" w:hAnsi="Calibri"/>
          <w:b/>
          <w:color w:val="172B3A"/>
          <w:sz w:val="22"/>
        </w:rPr>
        <w:t xml:space="preserve">Why it matters. </w:t>
      </w:r>
      <w:r>
        <w:rPr>
          <w:rFonts w:ascii="Calibri" w:hAnsi="Calibri"/>
          <w:sz w:val="22"/>
        </w:rPr>
        <w:t>The draft does not itself establish enforceable government-wide sharing, localisation, retention, breach-notification or cross-border-transfer duties. Public bodies should not treat planned WASL interoperability as authority to share complete datasets. Confidence: high.</w:t>
      </w:r>
    </w:p>
    <w:p>
      <w:pPr>
        <w:pStyle w:val="Heading2"/>
        <w:keepNext/>
      </w:pPr>
      <w:r>
        <w:t>No enacted horizontal personal-data law; pilot standards unchanged</w:t>
      </w:r>
    </w:p>
    <w:p>
      <w:r>
        <w:rPr>
          <w:rFonts w:ascii="Calibri" w:hAnsi="Calibri"/>
          <w:b/>
          <w:color w:val="172B3A"/>
          <w:sz w:val="22"/>
        </w:rPr>
        <w:t xml:space="preserve">Development. </w:t>
      </w:r>
      <w:r>
        <w:rPr>
          <w:rFonts w:ascii="Calibri" w:hAnsi="Calibri"/>
          <w:sz w:val="22"/>
        </w:rPr>
        <w:t xml:space="preserve">No authenticated successor personal-data bill or enacted horizontal law surfaced. </w:t>
      </w:r>
      <w:r>
        <w:rPr>
          <w:rFonts w:ascii="Calibri" w:hAnsi="Calibri"/>
          <w:b/>
          <w:color w:val="172B3A"/>
          <w:sz w:val="22"/>
        </w:rPr>
        <w:t xml:space="preserve">Status. </w:t>
      </w:r>
      <w:r>
        <w:rPr>
          <w:rFonts w:ascii="Calibri" w:hAnsi="Calibri"/>
          <w:sz w:val="22"/>
        </w:rPr>
        <w:t>Legislative gap persists; older drafts are not law. DNP publications remain Pilot.</w:t>
      </w:r>
    </w:p>
    <w:p>
      <w:r>
        <w:rPr>
          <w:rFonts w:ascii="Calibri" w:hAnsi="Calibri"/>
          <w:b/>
          <w:color w:val="172B3A"/>
          <w:sz w:val="22"/>
        </w:rPr>
        <w:t xml:space="preserve">Evidence. </w:t>
      </w:r>
      <w:r>
        <w:rPr>
          <w:rFonts w:ascii="Calibri" w:hAnsi="Calibri"/>
          <w:sz w:val="22"/>
        </w:rPr>
        <w:t xml:space="preserve">MoITT’s legislation register still exposes older personal-data drafts; the Senate private-bills register records the 2023 bill as disposed/withdrawn. The DNP register still lists four publications, all at Pilot maturity, dated 26 April or 13 May 2026. </w:t>
      </w:r>
      <w:hyperlink r:id="rId14">
        <w:r>
          <w:rPr>
            <w:rFonts w:ascii="Calibri" w:hAnsi="Calibri"/>
            <w:color w:val="2E74B5"/>
            <w:u w:val="none"/>
          </w:rPr>
          <w:t>MoITT legislation register</w:t>
        </w:r>
      </w:hyperlink>
      <w:r>
        <w:rPr>
          <w:rFonts w:ascii="Calibri" w:hAnsi="Calibri"/>
          <w:sz w:val="22"/>
        </w:rPr>
        <w:t xml:space="preserve">; </w:t>
      </w:r>
      <w:hyperlink r:id="rId15">
        <w:r>
          <w:rPr>
            <w:rFonts w:ascii="Calibri" w:hAnsi="Calibri"/>
            <w:color w:val="2E74B5"/>
            <w:u w:val="none"/>
          </w:rPr>
          <w:t>Senate private-bills register</w:t>
        </w:r>
      </w:hyperlink>
      <w:r>
        <w:rPr>
          <w:rFonts w:ascii="Calibri" w:hAnsi="Calibri"/>
          <w:sz w:val="22"/>
        </w:rPr>
        <w:t xml:space="preserve">; </w:t>
      </w:r>
      <w:hyperlink r:id="rId16">
        <w:r>
          <w:rPr>
            <w:rFonts w:ascii="Calibri" w:hAnsi="Calibri"/>
            <w:color w:val="2E74B5"/>
            <w:u w:val="none"/>
          </w:rPr>
          <w:t>DNP publications register</w:t>
        </w:r>
      </w:hyperlink>
      <w:r>
        <w:rPr>
          <w:rFonts w:ascii="Calibri" w:hAnsi="Calibri"/>
          <w:sz w:val="22"/>
        </w:rPr>
        <w:t>.</w:t>
      </w:r>
    </w:p>
    <w:p>
      <w:pPr>
        <w:shd w:fill="F7F9FB"/>
        <w:pBdr>
          <w:left w:val="single" w:sz="10" w:space="8" w:color="B8C5D0"/>
        </w:pBdr>
        <w:spacing w:before="80" w:after="160"/>
        <w:ind w:left="173" w:right="115"/>
      </w:pPr>
      <w:r>
        <w:rPr>
          <w:rFonts w:ascii="Calibri" w:hAnsi="Calibri"/>
          <w:b/>
          <w:color w:val="1F4D78"/>
          <w:sz w:val="22"/>
        </w:rPr>
        <w:t xml:space="preserve">Practical obligations now. </w:t>
      </w:r>
      <w:r>
        <w:rPr>
          <w:rFonts w:ascii="Calibri" w:hAnsi="Calibri"/>
          <w:color w:val="172B3A"/>
          <w:sz w:val="22"/>
        </w:rPr>
        <w:t>No new generally applicable duty was created in this window. Companies and public bodies must still map applicable sectoral, constitutional, contractual and cybersecurity requirements. For AI/data procurements, contracts should specify controller/processor roles, legal purpose and authority, hosting and model provider, subprocessors and transfers, retention/deletion, access controls, incident response, audit, automated-scoring review, human appeal and redress. Investors should diligence these controls rather than treating “sovereign” or “secure” marketing language as compliance evidence.</w:t>
      </w:r>
    </w:p>
    <w:p>
      <w:pPr>
        <w:pStyle w:val="Heading2"/>
        <w:keepNext/>
      </w:pPr>
      <w:r>
        <w:t>Cybersecurity register unchanged</w:t>
      </w:r>
    </w:p>
    <w:p>
      <w:r>
        <w:rPr>
          <w:rFonts w:ascii="Calibri" w:hAnsi="Calibri"/>
          <w:b/>
          <w:color w:val="172B3A"/>
          <w:sz w:val="22"/>
        </w:rPr>
        <w:t xml:space="preserve">Development/status. </w:t>
      </w:r>
      <w:r>
        <w:rPr>
          <w:rFonts w:ascii="Calibri" w:hAnsi="Calibri"/>
          <w:sz w:val="22"/>
        </w:rPr>
        <w:t xml:space="preserve">No Advisory 18, Cyber Security Act text, new binding directive or enforcement action appeared; PKCERT’s 2026 list remains topped by Advisory 17. </w:t>
      </w:r>
      <w:r>
        <w:rPr>
          <w:rFonts w:ascii="Calibri" w:hAnsi="Calibri"/>
          <w:b/>
          <w:color w:val="172B3A"/>
          <w:sz w:val="22"/>
        </w:rPr>
        <w:t xml:space="preserve">Institution. </w:t>
      </w:r>
      <w:r>
        <w:rPr>
          <w:rFonts w:ascii="Calibri" w:hAnsi="Calibri"/>
          <w:sz w:val="22"/>
        </w:rPr>
        <w:t xml:space="preserve">National CERT/MoITT. </w:t>
      </w:r>
      <w:r>
        <w:rPr>
          <w:rFonts w:ascii="Calibri" w:hAnsi="Calibri"/>
          <w:b/>
          <w:color w:val="172B3A"/>
          <w:sz w:val="22"/>
        </w:rPr>
        <w:t xml:space="preserve">Evidence. </w:t>
      </w:r>
      <w:hyperlink r:id="rId17">
        <w:r>
          <w:rPr>
            <w:rFonts w:ascii="Calibri" w:hAnsi="Calibri"/>
            <w:color w:val="2E74B5"/>
            <w:u w:val="none"/>
          </w:rPr>
          <w:t>PKCERT advisories register</w:t>
        </w:r>
      </w:hyperlink>
      <w:r>
        <w:rPr>
          <w:rFonts w:ascii="Calibri" w:hAnsi="Calibri"/>
          <w:sz w:val="22"/>
        </w:rPr>
        <w:t xml:space="preserve"> (live page; no reliable publication time displayed). </w:t>
      </w:r>
      <w:r>
        <w:rPr>
          <w:rFonts w:ascii="Calibri" w:hAnsi="Calibri"/>
          <w:b/>
          <w:color w:val="172B3A"/>
          <w:sz w:val="22"/>
        </w:rPr>
        <w:t xml:space="preserve">Why it matters. </w:t>
      </w:r>
      <w:r>
        <w:rPr>
          <w:rFonts w:ascii="Calibri" w:hAnsi="Calibri"/>
          <w:sz w:val="22"/>
        </w:rPr>
        <w:t>The security baseline for sensitive AI and data-sharing systems remains dependent on existing rules, contract design and technical controls rather than a new horizontal enforcement instrument. Confidence: high on current register state; medium-high overall because the live page is mutable.</w:t>
      </w:r>
    </w:p>
    <w:p>
      <w:pPr>
        <w:pStyle w:val="Heading1"/>
        <w:keepNext/>
      </w:pPr>
      <w:r>
        <w:t>4. AI and digital infrastructure</w:t>
      </w:r>
    </w:p>
    <w:p>
      <w:pPr>
        <w:pStyle w:val="Heading2"/>
        <w:keepNext/>
      </w:pPr>
      <w:r>
        <w:t>Compute and cloud: no allocatable capacity milestone</w:t>
      </w:r>
    </w:p>
    <w:p>
      <w:r>
        <w:rPr>
          <w:rFonts w:ascii="Calibri" w:hAnsi="Calibri"/>
          <w:b/>
          <w:color w:val="172B3A"/>
          <w:sz w:val="22"/>
        </w:rPr>
        <w:t xml:space="preserve">Development. </w:t>
      </w:r>
      <w:r>
        <w:rPr>
          <w:rFonts w:ascii="Calibri" w:hAnsi="Calibri"/>
          <w:sz w:val="22"/>
        </w:rPr>
        <w:t xml:space="preserve">No post-cutoff accelerator inventory, compute-grid topology, operating entity, pricing, funding release, allocation rule, accepted workload or cloud-location announcement surfaced. </w:t>
      </w:r>
      <w:r>
        <w:rPr>
          <w:rFonts w:ascii="Calibri" w:hAnsi="Calibri"/>
          <w:b/>
          <w:color w:val="172B3A"/>
          <w:sz w:val="22"/>
        </w:rPr>
        <w:t xml:space="preserve">Status. </w:t>
      </w:r>
      <w:r>
        <w:rPr>
          <w:rFonts w:ascii="Calibri" w:hAnsi="Calibri"/>
          <w:sz w:val="22"/>
        </w:rPr>
        <w:t xml:space="preserve">Announced/planned, not operationally evidenced. </w:t>
      </w:r>
      <w:r>
        <w:rPr>
          <w:rFonts w:ascii="Calibri" w:hAnsi="Calibri"/>
          <w:b/>
          <w:color w:val="172B3A"/>
          <w:sz w:val="22"/>
        </w:rPr>
        <w:t xml:space="preserve">Why it matters. </w:t>
      </w:r>
      <w:r>
        <w:rPr>
          <w:rFonts w:ascii="Calibri" w:hAnsi="Calibri"/>
          <w:sz w:val="22"/>
        </w:rPr>
        <w:t>Academic and enterprise users cannot assess usable capacity, availability, residency, security, energy cost or commercial access from the policy language alone. Confidence: medium-high.</w:t>
      </w:r>
    </w:p>
    <w:p>
      <w:pPr>
        <w:pStyle w:val="Heading2"/>
        <w:keepNext/>
      </w:pPr>
      <w:r>
        <w:t>Connectivity: Jazz milestone remains company-reported carry-in</w:t>
      </w:r>
    </w:p>
    <w:p>
      <w:r>
        <w:rPr>
          <w:rFonts w:ascii="Calibri" w:hAnsi="Calibri"/>
          <w:b/>
          <w:color w:val="172B3A"/>
          <w:sz w:val="22"/>
        </w:rPr>
        <w:t xml:space="preserve">Development/status. </w:t>
      </w:r>
      <w:r>
        <w:rPr>
          <w:rFonts w:ascii="Calibri" w:hAnsi="Calibri"/>
          <w:sz w:val="22"/>
        </w:rPr>
        <w:t xml:space="preserve">No new strict-window connectivity milestone. Jazz’s 27 August release reports 1,000 live 5G sites across ten cities, a 2,500-site end-2026 target, 190 MHz acquired and a prior US$1 billion commitment. </w:t>
      </w:r>
      <w:r>
        <w:rPr>
          <w:rFonts w:ascii="Calibri" w:hAnsi="Calibri"/>
          <w:b/>
          <w:color w:val="172B3A"/>
          <w:sz w:val="22"/>
        </w:rPr>
        <w:t xml:space="preserve">Evidence. </w:t>
      </w:r>
      <w:hyperlink r:id="rId18">
        <w:r>
          <w:rPr>
            <w:rFonts w:ascii="Calibri" w:hAnsi="Calibri"/>
            <w:color w:val="2E74B5"/>
            <w:u w:val="none"/>
          </w:rPr>
          <w:t>Jazz company release (27 August 2026)</w:t>
        </w:r>
      </w:hyperlink>
      <w:r>
        <w:rPr>
          <w:rFonts w:ascii="Calibri" w:hAnsi="Calibri"/>
          <w:sz w:val="22"/>
        </w:rPr>
        <w:t xml:space="preserve">. </w:t>
      </w:r>
      <w:r>
        <w:rPr>
          <w:rFonts w:ascii="Calibri" w:hAnsi="Calibri"/>
          <w:b/>
          <w:color w:val="172B3A"/>
          <w:sz w:val="22"/>
        </w:rPr>
        <w:t xml:space="preserve">Significance. </w:t>
      </w:r>
      <w:r>
        <w:rPr>
          <w:rFonts w:ascii="Calibri" w:hAnsi="Calibri"/>
          <w:sz w:val="22"/>
        </w:rPr>
        <w:t>The footprint claim is relevant to edge access and AI-enabled services, but it is not independent QoS evidence or proof that the full investment commitment has been realised. Confidence: medium.</w:t>
      </w:r>
    </w:p>
    <w:p>
      <w:pPr>
        <w:pStyle w:val="Heading2"/>
        <w:keepNext/>
      </w:pPr>
      <w:r>
        <w:t>Data centres and energy dependencies: no acceptance or facility-energy instrument</w:t>
      </w:r>
    </w:p>
    <w:p>
      <w:r>
        <w:rPr>
          <w:rFonts w:ascii="Calibri" w:hAnsi="Calibri"/>
          <w:b/>
          <w:color w:val="172B3A"/>
          <w:sz w:val="22"/>
        </w:rPr>
        <w:t xml:space="preserve">Development. </w:t>
      </w:r>
      <w:r>
        <w:rPr>
          <w:rFonts w:ascii="Calibri" w:hAnsi="Calibri"/>
          <w:sz w:val="22"/>
        </w:rPr>
        <w:t xml:space="preserve">No new commissioned capacity, customer acceptance, live workload, Tier certification, utility connection, tariff, PPA, dual-feed approval, backup-fuel endurance, cooling/water metric, PUE or WUE appeared. </w:t>
      </w:r>
      <w:r>
        <w:rPr>
          <w:rFonts w:ascii="Calibri" w:hAnsi="Calibri"/>
          <w:b/>
          <w:color w:val="172B3A"/>
          <w:sz w:val="22"/>
        </w:rPr>
        <w:t xml:space="preserve">Status. </w:t>
      </w:r>
      <w:r>
        <w:rPr>
          <w:rFonts w:ascii="Calibri" w:hAnsi="Calibri"/>
          <w:sz w:val="22"/>
        </w:rPr>
        <w:t xml:space="preserve">Procurement/announcement-stage watchpoints remain unchanged. </w:t>
      </w:r>
      <w:r>
        <w:rPr>
          <w:rFonts w:ascii="Calibri" w:hAnsi="Calibri"/>
          <w:b/>
          <w:color w:val="172B3A"/>
          <w:sz w:val="22"/>
        </w:rPr>
        <w:t xml:space="preserve">Why it matters. </w:t>
      </w:r>
      <w:r>
        <w:rPr>
          <w:rFonts w:ascii="Calibri" w:hAnsi="Calibri"/>
          <w:sz w:val="22"/>
        </w:rPr>
        <w:t>Energy resilience is part of compute availability and total cost, not a secondary facility detail. Claims of “AI-ready” capacity remain incomplete without accepted hardware, tested redundancy, power terms and live-service evidence. Confidence: medium-high.</w:t>
      </w:r>
    </w:p>
    <w:p>
      <w:pPr>
        <w:pStyle w:val="Heading1"/>
        <w:keepNext/>
      </w:pPr>
      <w:r>
        <w:t>5. Programs, funding, and investment</w:t>
      </w:r>
    </w:p>
    <w:p>
      <w:r>
        <w:rPr>
          <w:rFonts w:ascii="Calibri" w:hAnsi="Calibri"/>
          <w:b/>
          <w:color w:val="172B3A"/>
          <w:sz w:val="22"/>
        </w:rPr>
        <w:t xml:space="preserve">Live register delta. </w:t>
      </w:r>
      <w:r>
        <w:rPr>
          <w:rFonts w:ascii="Calibri" w:hAnsi="Calibri"/>
          <w:sz w:val="22"/>
        </w:rPr>
        <w:t>PPRA active/recent tenders increased 1,895 → 1,896; evaluations remained 2,832; contracts remained 543. The portal provides date-only rows and no reliable upload timestamp, so the added or backfilled row could not be isolated. No monitored procurement advanced. Confidence: high on counts; medium on row timing/classification.</w:t>
      </w:r>
    </w:p>
    <w:tbl>
      <w:tblPr>
        <w:tblW w:type="dxa" w:w="9360"/>
        <w:jc w:val="left"/>
        <w:tblLayout w:type="fixed"/>
        <w:tblLook w:firstColumn="1" w:firstRow="1" w:lastColumn="0" w:lastRow="0" w:noHBand="0" w:noVBand="1" w:val="04A0"/>
        <w:tblInd w:w="120" w:type="dxa"/>
        <w:tblLayout w:type="fixed"/>
      </w:tblPr>
      <w:tblGrid>
        <w:gridCol w:w="2700"/>
        <w:gridCol w:w="2800"/>
        <w:gridCol w:w="3860"/>
      </w:tblGrid>
      <w:tr>
        <w:trPr>
          <w:tblHeader w:val="true"/>
        </w:trPr>
        <w:tc>
          <w:tcPr>
            <w:tcW w:type="dxa" w:w="2700"/>
            <w:vAlign w:val="center"/>
            <w:shd w:fill="F2F4F7"/>
            <w:tcMar>
              <w:top w:w="80" w:type="dxa"/>
              <w:bottom w:w="80" w:type="dxa"/>
              <w:start w:w="120" w:type="dxa"/>
              <w:end w:w="120" w:type="dxa"/>
            </w:tcMar>
          </w:tcPr>
          <w:p>
            <w:pPr>
              <w:spacing w:after="0"/>
            </w:pPr>
            <w:r/>
            <w:r>
              <w:rPr>
                <w:rFonts w:ascii="Calibri" w:hAnsi="Calibri"/>
                <w:b/>
                <w:color w:val="172B3A"/>
                <w:sz w:val="18"/>
              </w:rPr>
              <w:t>Procurement / institution</w:t>
            </w:r>
          </w:p>
        </w:tc>
        <w:tc>
          <w:tcPr>
            <w:tcW w:type="dxa" w:w="2800"/>
            <w:vAlign w:val="center"/>
            <w:shd w:fill="F2F4F7"/>
            <w:tcMar>
              <w:top w:w="80" w:type="dxa"/>
              <w:bottom w:w="80" w:type="dxa"/>
              <w:start w:w="120" w:type="dxa"/>
              <w:end w:w="120" w:type="dxa"/>
            </w:tcMar>
          </w:tcPr>
          <w:p>
            <w:pPr>
              <w:spacing w:after="0"/>
            </w:pPr>
            <w:r/>
            <w:r>
              <w:rPr>
                <w:rFonts w:ascii="Calibri" w:hAnsi="Calibri"/>
                <w:b/>
                <w:color w:val="172B3A"/>
                <w:sz w:val="18"/>
              </w:rPr>
              <w:t>Current status and next date</w:t>
            </w:r>
          </w:p>
        </w:tc>
        <w:tc>
          <w:tcPr>
            <w:tcW w:type="dxa" w:w="3860"/>
            <w:vAlign w:val="center"/>
            <w:shd w:fill="F2F4F7"/>
            <w:tcMar>
              <w:top w:w="80" w:type="dxa"/>
              <w:bottom w:w="80" w:type="dxa"/>
              <w:start w:w="120" w:type="dxa"/>
              <w:end w:w="120" w:type="dxa"/>
            </w:tcMar>
          </w:tcPr>
          <w:p>
            <w:pPr>
              <w:spacing w:after="0"/>
            </w:pPr>
            <w:r/>
            <w:r>
              <w:rPr>
                <w:rFonts w:ascii="Calibri" w:hAnsi="Calibri"/>
                <w:b/>
                <w:color w:val="172B3A"/>
                <w:sz w:val="18"/>
              </w:rPr>
              <w:t>Decision-relevant gap</w:t>
            </w:r>
          </w:p>
        </w:tc>
      </w:tr>
      <w:tr>
        <w:tc>
          <w:tcPr>
            <w:tcW w:type="dxa" w:w="2700"/>
            <w:vAlign w:val="center"/>
            <w:tcMar>
              <w:top w:w="80" w:type="dxa"/>
              <w:bottom w:w="80" w:type="dxa"/>
              <w:start w:w="120" w:type="dxa"/>
              <w:end w:w="120" w:type="dxa"/>
            </w:tcMar>
          </w:tcPr>
          <w:p>
            <w:pPr>
              <w:spacing w:after="0" w:line="240" w:lineRule="auto"/>
            </w:pPr>
            <w:r/>
            <w:r>
              <w:rPr>
                <w:rFonts w:ascii="Calibri" w:hAnsi="Calibri"/>
                <w:b/>
                <w:color w:val="000000"/>
                <w:sz w:val="18"/>
              </w:rPr>
              <w:t>National AI Hubs / MoITT</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000000"/>
                <w:sz w:val="18"/>
              </w:rPr>
              <w:t>Corrigendum issued; closes 31 Aug 2026, 14:00 PKT</w:t>
            </w:r>
          </w:p>
        </w:tc>
        <w:tc>
          <w:tcPr>
            <w:tcW w:type="dxa" w:w="3860"/>
            <w:vAlign w:val="center"/>
            <w:tcMar>
              <w:top w:w="80" w:type="dxa"/>
              <w:bottom w:w="80" w:type="dxa"/>
              <w:start w:w="120" w:type="dxa"/>
              <w:end w:w="120" w:type="dxa"/>
            </w:tcMar>
          </w:tcPr>
          <w:p>
            <w:pPr>
              <w:spacing w:after="0" w:line="240" w:lineRule="auto"/>
            </w:pPr>
            <w:r/>
            <w:r>
              <w:rPr>
                <w:rFonts w:ascii="Calibri" w:hAnsi="Calibri"/>
                <w:b w:val="0"/>
                <w:color w:val="000000"/>
                <w:sz w:val="18"/>
              </w:rPr>
              <w:t>No evaluation, award, funding release or delivery</w:t>
            </w:r>
          </w:p>
        </w:tc>
      </w:tr>
      <w:tr>
        <w:tc>
          <w:tcPr>
            <w:tcW w:type="dxa" w:w="2700"/>
            <w:vAlign w:val="center"/>
            <w:tcMar>
              <w:top w:w="80" w:type="dxa"/>
              <w:bottom w:w="80" w:type="dxa"/>
              <w:start w:w="120" w:type="dxa"/>
              <w:end w:w="120" w:type="dxa"/>
            </w:tcMar>
          </w:tcPr>
          <w:p>
            <w:pPr>
              <w:spacing w:after="0" w:line="240" w:lineRule="auto"/>
            </w:pPr>
            <w:r/>
            <w:r>
              <w:rPr>
                <w:rFonts w:ascii="Calibri" w:hAnsi="Calibri"/>
                <w:b/>
                <w:color w:val="000000"/>
                <w:sz w:val="18"/>
              </w:rPr>
              <w:t>GPU servers / PITB</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000000"/>
                <w:sz w:val="18"/>
              </w:rPr>
              <w:t>Published; closes 31 Aug 2026</w:t>
            </w:r>
          </w:p>
        </w:tc>
        <w:tc>
          <w:tcPr>
            <w:tcW w:type="dxa" w:w="3860"/>
            <w:vAlign w:val="center"/>
            <w:tcMar>
              <w:top w:w="80" w:type="dxa"/>
              <w:bottom w:w="80" w:type="dxa"/>
              <w:start w:w="120" w:type="dxa"/>
              <w:end w:w="120" w:type="dxa"/>
            </w:tcMar>
          </w:tcPr>
          <w:p>
            <w:pPr>
              <w:spacing w:after="0" w:line="240" w:lineRule="auto"/>
            </w:pPr>
            <w:r/>
            <w:r>
              <w:rPr>
                <w:rFonts w:ascii="Calibri" w:hAnsi="Calibri"/>
                <w:b w:val="0"/>
                <w:color w:val="000000"/>
                <w:sz w:val="18"/>
              </w:rPr>
              <w:t>No supplier, capacity, acceptance or allocation terms</w:t>
            </w:r>
          </w:p>
        </w:tc>
      </w:tr>
      <w:tr>
        <w:tc>
          <w:tcPr>
            <w:tcW w:type="dxa" w:w="2700"/>
            <w:vAlign w:val="center"/>
            <w:tcMar>
              <w:top w:w="80" w:type="dxa"/>
              <w:bottom w:w="80" w:type="dxa"/>
              <w:start w:w="120" w:type="dxa"/>
              <w:end w:w="120" w:type="dxa"/>
            </w:tcMar>
          </w:tcPr>
          <w:p>
            <w:pPr>
              <w:spacing w:after="0" w:line="240" w:lineRule="auto"/>
            </w:pPr>
            <w:r/>
            <w:r>
              <w:rPr>
                <w:rFonts w:ascii="Calibri" w:hAnsi="Calibri"/>
                <w:b/>
                <w:color w:val="000000"/>
                <w:sz w:val="18"/>
              </w:rPr>
              <w:t>Government AI Cloud consultancy / PITB</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000000"/>
                <w:sz w:val="18"/>
              </w:rPr>
              <w:t>Closed 24 Aug 2026; no visible result</w:t>
            </w:r>
          </w:p>
        </w:tc>
        <w:tc>
          <w:tcPr>
            <w:tcW w:type="dxa" w:w="3860"/>
            <w:vAlign w:val="center"/>
            <w:tcMar>
              <w:top w:w="80" w:type="dxa"/>
              <w:bottom w:w="80" w:type="dxa"/>
              <w:start w:w="120" w:type="dxa"/>
              <w:end w:w="120" w:type="dxa"/>
            </w:tcMar>
          </w:tcPr>
          <w:p>
            <w:pPr>
              <w:spacing w:after="0" w:line="240" w:lineRule="auto"/>
            </w:pPr>
            <w:r/>
            <w:r>
              <w:rPr>
                <w:rFonts w:ascii="Calibri" w:hAnsi="Calibri"/>
                <w:b w:val="0"/>
                <w:color w:val="000000"/>
                <w:sz w:val="18"/>
              </w:rPr>
              <w:t>No evaluator selection, contract or implementation workplan</w:t>
            </w:r>
          </w:p>
        </w:tc>
      </w:tr>
      <w:tr>
        <w:tc>
          <w:tcPr>
            <w:tcW w:type="dxa" w:w="2700"/>
            <w:vAlign w:val="center"/>
            <w:tcMar>
              <w:top w:w="80" w:type="dxa"/>
              <w:bottom w:w="80" w:type="dxa"/>
              <w:start w:w="120" w:type="dxa"/>
              <w:end w:w="120" w:type="dxa"/>
            </w:tcMar>
          </w:tcPr>
          <w:p>
            <w:pPr>
              <w:spacing w:after="0" w:line="240" w:lineRule="auto"/>
            </w:pPr>
            <w:r/>
            <w:r>
              <w:rPr>
                <w:rFonts w:ascii="Calibri" w:hAnsi="Calibri"/>
                <w:b/>
                <w:color w:val="000000"/>
                <w:sz w:val="18"/>
              </w:rPr>
              <w:t>AI-enabled services / NAVTTC</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000000"/>
                <w:sz w:val="18"/>
              </w:rPr>
              <w:t>Final evaluation; 6 bids; Mercurial Minds named lowest</w:t>
            </w:r>
          </w:p>
        </w:tc>
        <w:tc>
          <w:tcPr>
            <w:tcW w:type="dxa" w:w="3860"/>
            <w:vAlign w:val="center"/>
            <w:tcMar>
              <w:top w:w="80" w:type="dxa"/>
              <w:bottom w:w="80" w:type="dxa"/>
              <w:start w:w="120" w:type="dxa"/>
              <w:end w:w="120" w:type="dxa"/>
            </w:tcMar>
          </w:tcPr>
          <w:p>
            <w:pPr>
              <w:spacing w:after="0" w:line="240" w:lineRule="auto"/>
            </w:pPr>
            <w:r/>
            <w:r>
              <w:rPr>
                <w:rFonts w:ascii="Calibri" w:hAnsi="Calibri"/>
                <w:b w:val="0"/>
                <w:color w:val="000000"/>
                <w:sz w:val="18"/>
              </w:rPr>
              <w:t>Lowest bidder is not an award, contract, NTP or live deployment</w:t>
            </w:r>
          </w:p>
        </w:tc>
      </w:tr>
      <w:tr>
        <w:tc>
          <w:tcPr>
            <w:tcW w:type="dxa" w:w="2700"/>
            <w:vAlign w:val="center"/>
            <w:tcMar>
              <w:top w:w="80" w:type="dxa"/>
              <w:bottom w:w="80" w:type="dxa"/>
              <w:start w:w="120" w:type="dxa"/>
              <w:end w:w="120" w:type="dxa"/>
            </w:tcMar>
          </w:tcPr>
          <w:p>
            <w:pPr>
              <w:spacing w:after="0" w:line="240" w:lineRule="auto"/>
            </w:pPr>
            <w:r/>
            <w:r>
              <w:rPr>
                <w:rFonts w:ascii="Calibri" w:hAnsi="Calibri"/>
                <w:b/>
                <w:color w:val="000000"/>
                <w:sz w:val="18"/>
              </w:rPr>
              <w:t>Karachi data centre / NTC</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000000"/>
                <w:sz w:val="18"/>
              </w:rPr>
              <w:t>Closed 23 Jun 2026; no visible evaluation/award</w:t>
            </w:r>
          </w:p>
        </w:tc>
        <w:tc>
          <w:tcPr>
            <w:tcW w:type="dxa" w:w="3860"/>
            <w:vAlign w:val="center"/>
            <w:tcMar>
              <w:top w:w="80" w:type="dxa"/>
              <w:bottom w:w="80" w:type="dxa"/>
              <w:start w:w="120" w:type="dxa"/>
              <w:end w:w="120" w:type="dxa"/>
            </w:tcMar>
          </w:tcPr>
          <w:p>
            <w:pPr>
              <w:spacing w:after="0" w:line="240" w:lineRule="auto"/>
            </w:pPr>
            <w:r/>
            <w:r>
              <w:rPr>
                <w:rFonts w:ascii="Calibri" w:hAnsi="Calibri"/>
                <w:b w:val="0"/>
                <w:color w:val="000000"/>
                <w:sz w:val="18"/>
              </w:rPr>
              <w:t>No contracted scope, delivery, acceptance or operational capacity</w:t>
            </w:r>
          </w:p>
        </w:tc>
      </w:tr>
      <w:tr>
        <w:tc>
          <w:tcPr>
            <w:tcW w:type="dxa" w:w="2700"/>
            <w:vAlign w:val="center"/>
            <w:tcMar>
              <w:top w:w="80" w:type="dxa"/>
              <w:bottom w:w="80" w:type="dxa"/>
              <w:start w:w="120" w:type="dxa"/>
              <w:end w:w="120" w:type="dxa"/>
            </w:tcMar>
          </w:tcPr>
          <w:p>
            <w:pPr>
              <w:spacing w:after="0" w:line="240" w:lineRule="auto"/>
            </w:pPr>
            <w:r/>
            <w:r>
              <w:rPr>
                <w:rFonts w:ascii="Calibri" w:hAnsi="Calibri"/>
                <w:b/>
                <w:color w:val="000000"/>
                <w:sz w:val="18"/>
              </w:rPr>
              <w:t>Sovereign AI services / Ignite</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000000"/>
                <w:sz w:val="18"/>
              </w:rPr>
              <w:t>Published; closes 21 Sep 2026, 15:00 PKT</w:t>
            </w:r>
          </w:p>
        </w:tc>
        <w:tc>
          <w:tcPr>
            <w:tcW w:type="dxa" w:w="3860"/>
            <w:vAlign w:val="center"/>
            <w:tcMar>
              <w:top w:w="80" w:type="dxa"/>
              <w:bottom w:w="80" w:type="dxa"/>
              <w:start w:w="120" w:type="dxa"/>
              <w:end w:w="120" w:type="dxa"/>
            </w:tcMar>
          </w:tcPr>
          <w:p>
            <w:pPr>
              <w:spacing w:after="0" w:line="240" w:lineRule="auto"/>
            </w:pPr>
            <w:r/>
            <w:r>
              <w:rPr>
                <w:rFonts w:ascii="Calibri" w:hAnsi="Calibri"/>
                <w:b w:val="0"/>
                <w:color w:val="000000"/>
                <w:sz w:val="18"/>
              </w:rPr>
              <w:t>No award, service controls or production safeguards</w:t>
            </w:r>
          </w:p>
        </w:tc>
      </w:tr>
      <w:tr>
        <w:tc>
          <w:tcPr>
            <w:tcW w:type="dxa" w:w="2700"/>
            <w:vAlign w:val="center"/>
            <w:tcMar>
              <w:top w:w="80" w:type="dxa"/>
              <w:bottom w:w="80" w:type="dxa"/>
              <w:start w:w="120" w:type="dxa"/>
              <w:end w:w="120" w:type="dxa"/>
            </w:tcMar>
          </w:tcPr>
          <w:p>
            <w:pPr>
              <w:spacing w:after="0" w:line="240" w:lineRule="auto"/>
            </w:pPr>
            <w:r/>
            <w:r>
              <w:rPr>
                <w:rFonts w:ascii="Calibri" w:hAnsi="Calibri"/>
                <w:b/>
                <w:color w:val="000000"/>
                <w:sz w:val="18"/>
              </w:rPr>
              <w:t>Core switches / State Life Karachi</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000000"/>
                <w:sz w:val="18"/>
              </w:rPr>
              <w:t>Published; closes 23 Sep 2026, 11:00 PKT</w:t>
            </w:r>
          </w:p>
        </w:tc>
        <w:tc>
          <w:tcPr>
            <w:tcW w:type="dxa" w:w="3860"/>
            <w:vAlign w:val="center"/>
            <w:tcMar>
              <w:top w:w="80" w:type="dxa"/>
              <w:bottom w:w="80" w:type="dxa"/>
              <w:start w:w="120" w:type="dxa"/>
              <w:end w:w="120" w:type="dxa"/>
            </w:tcMar>
          </w:tcPr>
          <w:p>
            <w:pPr>
              <w:spacing w:after="0" w:line="240" w:lineRule="auto"/>
            </w:pPr>
            <w:r/>
            <w:r>
              <w:rPr>
                <w:rFonts w:ascii="Calibri" w:hAnsi="Calibri"/>
                <w:b w:val="0"/>
                <w:color w:val="000000"/>
                <w:sz w:val="18"/>
              </w:rPr>
              <w:t>Tender stage only; no installed or accepted network capacity</w:t>
            </w:r>
          </w:p>
        </w:tc>
      </w:tr>
      <w:tr>
        <w:tc>
          <w:tcPr>
            <w:tcW w:type="dxa" w:w="2700"/>
            <w:vAlign w:val="center"/>
            <w:tcMar>
              <w:top w:w="80" w:type="dxa"/>
              <w:bottom w:w="80" w:type="dxa"/>
              <w:start w:w="120" w:type="dxa"/>
              <w:end w:w="120" w:type="dxa"/>
            </w:tcMar>
          </w:tcPr>
          <w:p>
            <w:pPr>
              <w:spacing w:after="0" w:line="240" w:lineRule="auto"/>
            </w:pPr>
            <w:r/>
            <w:r>
              <w:rPr>
                <w:rFonts w:ascii="Calibri" w:hAnsi="Calibri"/>
                <w:b/>
                <w:color w:val="000000"/>
                <w:sz w:val="18"/>
              </w:rPr>
              <w:t>HCI and load balancer / LESCO</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000000"/>
                <w:sz w:val="18"/>
              </w:rPr>
              <w:t>Published; closes 15 Sep 2026, 10:30 PKT</w:t>
            </w:r>
          </w:p>
        </w:tc>
        <w:tc>
          <w:tcPr>
            <w:tcW w:type="dxa" w:w="3860"/>
            <w:vAlign w:val="center"/>
            <w:tcMar>
              <w:top w:w="80" w:type="dxa"/>
              <w:bottom w:w="80" w:type="dxa"/>
              <w:start w:w="120" w:type="dxa"/>
              <w:end w:w="120" w:type="dxa"/>
            </w:tcMar>
          </w:tcPr>
          <w:p>
            <w:pPr>
              <w:spacing w:after="0" w:line="240" w:lineRule="auto"/>
            </w:pPr>
            <w:r/>
            <w:r>
              <w:rPr>
                <w:rFonts w:ascii="Calibri" w:hAnsi="Calibri"/>
                <w:b w:val="0"/>
                <w:color w:val="000000"/>
                <w:sz w:val="18"/>
              </w:rPr>
              <w:t>No award, facility integration or live service</w:t>
            </w:r>
          </w:p>
        </w:tc>
      </w:tr>
    </w:tbl>
    <w:p>
      <w:pPr>
        <w:spacing w:before="80" w:after="80"/>
      </w:pPr>
      <w:r>
        <w:rPr>
          <w:rFonts w:ascii="Calibri" w:hAnsi="Calibri"/>
          <w:b/>
          <w:color w:val="5E6C76"/>
          <w:sz w:val="19"/>
        </w:rPr>
        <w:t xml:space="preserve">Evidence: </w:t>
      </w:r>
      <w:hyperlink r:id="rId19">
        <w:r>
          <w:rPr>
            <w:rFonts w:ascii="Calibri" w:hAnsi="Calibri"/>
            <w:color w:val="5E6C76"/>
            <w:u w:val="none"/>
          </w:rPr>
          <w:t>PPRA active/recent tenders</w:t>
        </w:r>
      </w:hyperlink>
      <w:r>
        <w:rPr>
          <w:rFonts w:ascii="Calibri" w:hAnsi="Calibri"/>
          <w:color w:val="5E6C76"/>
          <w:sz w:val="19"/>
        </w:rPr>
        <w:t xml:space="preserve">; </w:t>
      </w:r>
      <w:hyperlink r:id="rId20">
        <w:r>
          <w:rPr>
            <w:rFonts w:ascii="Calibri" w:hAnsi="Calibri"/>
            <w:color w:val="5E6C76"/>
            <w:u w:val="none"/>
          </w:rPr>
          <w:t>evaluations</w:t>
        </w:r>
      </w:hyperlink>
      <w:r>
        <w:rPr>
          <w:rFonts w:ascii="Calibri" w:hAnsi="Calibri"/>
          <w:color w:val="5E6C76"/>
          <w:sz w:val="19"/>
        </w:rPr>
        <w:t xml:space="preserve">; </w:t>
      </w:r>
      <w:hyperlink r:id="rId21">
        <w:r>
          <w:rPr>
            <w:rFonts w:ascii="Calibri" w:hAnsi="Calibri"/>
            <w:color w:val="5E6C76"/>
            <w:u w:val="none"/>
          </w:rPr>
          <w:t>contracts</w:t>
        </w:r>
      </w:hyperlink>
      <w:r>
        <w:rPr>
          <w:rFonts w:ascii="Calibri" w:hAnsi="Calibri"/>
          <w:color w:val="5E6C76"/>
          <w:sz w:val="19"/>
        </w:rPr>
        <w:t xml:space="preserve">; </w:t>
      </w:r>
      <w:hyperlink r:id="rId22">
        <w:r>
          <w:rPr>
            <w:rFonts w:ascii="Calibri" w:hAnsi="Calibri"/>
            <w:color w:val="5E6C76"/>
            <w:u w:val="none"/>
          </w:rPr>
          <w:t>PITB tenders</w:t>
        </w:r>
      </w:hyperlink>
      <w:r>
        <w:rPr>
          <w:rFonts w:ascii="Calibri" w:hAnsi="Calibri"/>
          <w:color w:val="5E6C76"/>
          <w:sz w:val="19"/>
        </w:rPr>
        <w:t>. Live/date-only registers accessed 28 August 2026.</w:t>
      </w:r>
    </w:p>
    <w:p>
      <w:pPr>
        <w:pStyle w:val="Heading1"/>
        <w:keepNext/>
      </w:pPr>
      <w:r>
        <w:t>6. Provincial and local developments</w:t>
      </w:r>
    </w:p>
    <w:p>
      <w:pPr>
        <w:pStyle w:val="Heading2"/>
        <w:keepNext/>
      </w:pPr>
      <w:r>
        <w:t>Punjab: same-day claims remain carry-in, not a strict-window milestone</w:t>
      </w:r>
    </w:p>
    <w:p>
      <w:r>
        <w:rPr>
          <w:rFonts w:ascii="Calibri" w:hAnsi="Calibri"/>
          <w:b/>
          <w:color w:val="172B3A"/>
          <w:sz w:val="22"/>
        </w:rPr>
        <w:t xml:space="preserve">Development/status. </w:t>
      </w:r>
      <w:r>
        <w:rPr>
          <w:rFonts w:ascii="Calibri" w:hAnsi="Calibri"/>
          <w:sz w:val="22"/>
        </w:rPr>
        <w:t xml:space="preserve">No timestamp-verifiable post-cutoff implementation instrument. APP’s date-only 28 August report carries the Chief Minister’s statements about a Punjab Data Lake, OneMap integration, sovereign cloud, digital identity and an AI Office. It reports 12 TB of geospatial data, 31 departments and more than 6,000 datasets, but supplies no operative mandate, budget, procurement award, hosting architecture, safeguards instrument, acceptance test or publication time. </w:t>
      </w:r>
      <w:r>
        <w:rPr>
          <w:rFonts w:ascii="Calibri" w:hAnsi="Calibri"/>
          <w:b/>
          <w:color w:val="172B3A"/>
          <w:sz w:val="22"/>
        </w:rPr>
        <w:t xml:space="preserve">Evidence. </w:t>
      </w:r>
      <w:hyperlink r:id="rId23">
        <w:r>
          <w:rPr>
            <w:rFonts w:ascii="Calibri" w:hAnsi="Calibri"/>
            <w:color w:val="2E74B5"/>
            <w:u w:val="none"/>
          </w:rPr>
          <w:t>APP, 28 August 2026</w:t>
        </w:r>
      </w:hyperlink>
      <w:r>
        <w:rPr>
          <w:rFonts w:ascii="Calibri" w:hAnsi="Calibri"/>
          <w:sz w:val="22"/>
        </w:rPr>
        <w:t>. Significance: potentially material provincial data infrastructure, but implementation and data-governance controls remain unverified. Confidence: medium.</w:t>
      </w:r>
    </w:p>
    <w:p>
      <w:pPr>
        <w:pStyle w:val="Heading2"/>
        <w:keepNext/>
      </w:pPr>
      <w:r>
        <w:t>Khyber Pakhtunkhwa and other jurisdictions</w:t>
      </w:r>
    </w:p>
    <w:p>
      <w:r>
        <w:rPr>
          <w:rFonts w:ascii="Calibri" w:hAnsi="Calibri"/>
          <w:b/>
          <w:color w:val="172B3A"/>
          <w:sz w:val="22"/>
        </w:rPr>
        <w:t xml:space="preserve">Development/status. </w:t>
      </w:r>
      <w:r>
        <w:rPr>
          <w:rFonts w:ascii="Calibri" w:hAnsi="Calibri"/>
          <w:sz w:val="22"/>
        </w:rPr>
        <w:t xml:space="preserve">No new post-cutoff provincial or municipal milestone. A KP DGIPR release dated 28 August describes an August 27 briefing and self-reports six model IT labs, a provincial Cyber Response Emergency Center, six digitised departments, an STI strategy and citizen centres; it was already in the baseline and lacks publication time, budgets, named sites for several claims or independent operational metrics. </w:t>
      </w:r>
      <w:r>
        <w:rPr>
          <w:rFonts w:ascii="Calibri" w:hAnsi="Calibri"/>
          <w:b/>
          <w:color w:val="172B3A"/>
          <w:sz w:val="22"/>
        </w:rPr>
        <w:t xml:space="preserve">Evidence. </w:t>
      </w:r>
      <w:hyperlink r:id="rId24">
        <w:r>
          <w:rPr>
            <w:rFonts w:ascii="Calibri" w:hAnsi="Calibri"/>
            <w:color w:val="2E74B5"/>
            <w:u w:val="none"/>
          </w:rPr>
          <w:t>KP DGIPR, 28 August 2026</w:t>
        </w:r>
      </w:hyperlink>
      <w:r>
        <w:rPr>
          <w:rFonts w:ascii="Calibri" w:hAnsi="Calibri"/>
          <w:sz w:val="22"/>
        </w:rPr>
        <w:t>. No qualifying Sindh, Balochistan, Gilgit-Baltistan, AJK or municipal update surfaced. Confidence: medium-high on no strict-window delta; medium on KP self-reported implementation.</w:t>
      </w:r>
    </w:p>
    <w:p>
      <w:pPr>
        <w:pStyle w:val="Heading1"/>
        <w:keepNext/>
      </w:pPr>
      <w:r>
        <w:t>7. What changed / why it matters</w:t>
      </w:r>
    </w:p>
    <w:p>
      <w:pPr>
        <w:pStyle w:val="ListBullet"/>
      </w:pPr>
      <w:r>
        <w:rPr>
          <w:rFonts w:ascii="Calibri" w:hAnsi="Calibri"/>
          <w:b/>
          <w:color w:val="172B3A"/>
          <w:sz w:val="22"/>
        </w:rPr>
        <w:t xml:space="preserve">The only observed numerical delta was PPRA +1 active/recent tender. </w:t>
      </w:r>
      <w:r>
        <w:rPr>
          <w:rFonts w:ascii="Calibri" w:hAnsi="Calibri"/>
          <w:sz w:val="22"/>
        </w:rPr>
        <w:t>Because the portal is mutable and date-only, the movement is a discovery signal, not evidence that a monitored project advanced. Evaluation and contract totals were flat.</w:t>
      </w:r>
    </w:p>
    <w:p>
      <w:pPr>
        <w:pStyle w:val="ListBullet"/>
      </w:pPr>
      <w:r>
        <w:rPr>
          <w:rFonts w:ascii="Calibri" w:hAnsi="Calibri"/>
          <w:b/>
          <w:color w:val="172B3A"/>
          <w:sz w:val="22"/>
        </w:rPr>
        <w:t xml:space="preserve">Legal and governance exposure did not change. </w:t>
      </w:r>
      <w:r>
        <w:rPr>
          <w:rFonts w:ascii="Calibri" w:hAnsi="Calibri"/>
          <w:sz w:val="22"/>
        </w:rPr>
        <w:t>There is still no enacted horizontal personal-data statute or notified Data Governance Policy. Organisations should base current compliance on applicable existing law, sector rules and contracts, and should not infer authority from policy announcements.</w:t>
      </w:r>
    </w:p>
    <w:p>
      <w:pPr>
        <w:pStyle w:val="ListBullet"/>
      </w:pPr>
      <w:r>
        <w:rPr>
          <w:rFonts w:ascii="Calibri" w:hAnsi="Calibri"/>
          <w:b/>
          <w:color w:val="172B3A"/>
          <w:sz w:val="22"/>
        </w:rPr>
        <w:t xml:space="preserve">Implementation risk remains concentrated in missing instruments. </w:t>
      </w:r>
      <w:r>
        <w:rPr>
          <w:rFonts w:ascii="Calibri" w:hAnsi="Calibri"/>
          <w:sz w:val="22"/>
        </w:rPr>
        <w:t>The National AI Policy’s ambitions need named owners, budgets, rules, standards, capacity and deadlines. Without those, implementation likelihood cannot be judged from announcements alone.</w:t>
      </w:r>
    </w:p>
    <w:p>
      <w:pPr>
        <w:pStyle w:val="ListBullet"/>
      </w:pPr>
      <w:r>
        <w:rPr>
          <w:rFonts w:ascii="Calibri" w:hAnsi="Calibri"/>
          <w:b/>
          <w:color w:val="172B3A"/>
          <w:sz w:val="22"/>
        </w:rPr>
        <w:t xml:space="preserve">Infrastructure claims remain difficult to compare. </w:t>
      </w:r>
      <w:r>
        <w:rPr>
          <w:rFonts w:ascii="Calibri" w:hAnsi="Calibri"/>
          <w:sz w:val="22"/>
        </w:rPr>
        <w:t>Procurement-stage and company-reported milestones lack common evidence for accepted compute, utilisation, uptime, residency, cybersecurity, grid connection, cooling, water and realised capital expenditure.</w:t>
      </w:r>
    </w:p>
    <w:p>
      <w:pPr>
        <w:pStyle w:val="ListBullet"/>
      </w:pPr>
      <w:r>
        <w:rPr>
          <w:rFonts w:ascii="Calibri" w:hAnsi="Calibri"/>
          <w:b/>
          <w:color w:val="172B3A"/>
          <w:sz w:val="22"/>
        </w:rPr>
        <w:t xml:space="preserve">The narrow window limits absence claims. </w:t>
      </w:r>
      <w:r>
        <w:rPr>
          <w:rFonts w:ascii="Calibri" w:hAnsi="Calibri"/>
          <w:sz w:val="22"/>
        </w:rPr>
        <w:t>A 15-minute comparison is highly sensitive to publication latency and pages without timestamps. High confidence attaches to inspected register states; confidence is lower on the proposition that no unpublished or unindexed event occurred.</w:t>
      </w:r>
    </w:p>
    <w:p>
      <w:pPr>
        <w:pStyle w:val="Heading1"/>
        <w:keepNext/>
      </w:pPr>
      <w:r>
        <w:t>8. Watchlist</w:t>
      </w:r>
    </w:p>
    <w:p>
      <w:pPr>
        <w:pStyle w:val="ListBullet"/>
      </w:pPr>
      <w:r>
        <w:rPr>
          <w:rFonts w:ascii="Calibri" w:hAnsi="Calibri"/>
          <w:b/>
          <w:color w:val="172B3A"/>
          <w:sz w:val="22"/>
        </w:rPr>
        <w:t xml:space="preserve">AI implementation: </w:t>
      </w:r>
      <w:r>
        <w:rPr>
          <w:rFonts w:ascii="Calibri" w:hAnsi="Calibri"/>
          <w:sz w:val="22"/>
        </w:rPr>
        <w:t>AI Council/Directorate/Centres of Excellence; sandbox rules; public-sector AI register; impact-assessment, audit and procurement standards; compute-grid design, inventory, funding and allocation.</w:t>
      </w:r>
    </w:p>
    <w:p>
      <w:pPr>
        <w:pStyle w:val="ListBullet"/>
      </w:pPr>
      <w:r>
        <w:rPr>
          <w:rFonts w:ascii="Calibri" w:hAnsi="Calibri"/>
          <w:b/>
          <w:color w:val="172B3A"/>
          <w:sz w:val="22"/>
        </w:rPr>
        <w:t xml:space="preserve">Data and cyber: </w:t>
      </w:r>
      <w:r>
        <w:rPr>
          <w:rFonts w:ascii="Calibri" w:hAnsi="Calibri"/>
          <w:sz w:val="22"/>
        </w:rPr>
        <w:t>Authenticated successor personal-data bill; final/notified Data Governance Policy; WASL authority, purpose, consent, access, audit, retention and redress; PKCERT Advisory 18; Cyber Security Act text/stage.</w:t>
      </w:r>
    </w:p>
    <w:p>
      <w:pPr>
        <w:pStyle w:val="ListBullet"/>
      </w:pPr>
      <w:r>
        <w:rPr>
          <w:rFonts w:ascii="Calibri" w:hAnsi="Calibri"/>
          <w:b/>
          <w:color w:val="172B3A"/>
          <w:sz w:val="22"/>
        </w:rPr>
        <w:t xml:space="preserve">Telecom: </w:t>
      </w:r>
      <w:r>
        <w:rPr>
          <w:rFonts w:ascii="Calibri" w:hAnsi="Calibri"/>
          <w:sz w:val="22"/>
        </w:rPr>
        <w:t>Replacement bill publication, introduction and referral; right-of-way/property access; consent, compensation, fees, appeals and implementing authority.</w:t>
      </w:r>
    </w:p>
    <w:p>
      <w:pPr>
        <w:pStyle w:val="ListBullet"/>
      </w:pPr>
      <w:r>
        <w:rPr>
          <w:rFonts w:ascii="Calibri" w:hAnsi="Calibri"/>
          <w:b/>
          <w:color w:val="172B3A"/>
          <w:sz w:val="22"/>
        </w:rPr>
        <w:t xml:space="preserve">Procurement: </w:t>
      </w:r>
      <w:r>
        <w:rPr>
          <w:rFonts w:ascii="Calibri" w:hAnsi="Calibri"/>
          <w:sz w:val="22"/>
        </w:rPr>
        <w:t>National AI Hubs and PITB GPU after 31 August; PITB Government AI Cloud result; NAVTTC contract/NTP; NTC Karachi evaluation/award; Ignite after 21 September; State Life after 23 September.</w:t>
      </w:r>
    </w:p>
    <w:p>
      <w:pPr>
        <w:pStyle w:val="ListBullet"/>
      </w:pPr>
      <w:r>
        <w:rPr>
          <w:rFonts w:ascii="Calibri" w:hAnsi="Calibri"/>
          <w:b/>
          <w:color w:val="172B3A"/>
          <w:sz w:val="22"/>
        </w:rPr>
        <w:t xml:space="preserve">Infrastructure and energy: </w:t>
      </w:r>
      <w:r>
        <w:rPr>
          <w:rFonts w:ascii="Calibri" w:hAnsi="Calibri"/>
          <w:sz w:val="22"/>
        </w:rPr>
        <w:t>Usable accelerator inventory; cloud/edge/interconnect/cache; independent 5G QoS; accepted data-centre capacity; utility/tariff/PPA, redundancy, fuel, cooling, water, PUE/WUE, certification and live workloads.</w:t>
      </w:r>
    </w:p>
    <w:p>
      <w:pPr>
        <w:pStyle w:val="ListBullet"/>
      </w:pPr>
      <w:r>
        <w:rPr>
          <w:rFonts w:ascii="Calibri" w:hAnsi="Calibri"/>
          <w:b/>
          <w:color w:val="172B3A"/>
          <w:sz w:val="22"/>
        </w:rPr>
        <w:t xml:space="preserve">Google: </w:t>
      </w:r>
      <w:r>
        <w:rPr>
          <w:rFonts w:ascii="Calibri" w:hAnsi="Calibri"/>
          <w:sz w:val="22"/>
        </w:rPr>
        <w:t>Canonical premises/address/type; occupying, employing and invoicing entities; staffing and mandate; AI Centre delivery; hosting, subprocessors and transfers; realised investment; 1 October Ads transition; Pakistan cloud/data-centre listings.</w:t>
      </w:r>
    </w:p>
    <w:p>
      <w:pPr>
        <w:pStyle w:val="ListBullet"/>
      </w:pPr>
      <w:r>
        <w:rPr>
          <w:rFonts w:ascii="Calibri" w:hAnsi="Calibri"/>
          <w:b/>
          <w:color w:val="172B3A"/>
          <w:sz w:val="22"/>
        </w:rPr>
        <w:t xml:space="preserve">Provinces: </w:t>
      </w:r>
      <w:r>
        <w:rPr>
          <w:rFonts w:ascii="Calibri" w:hAnsi="Calibri"/>
          <w:sz w:val="22"/>
        </w:rPr>
        <w:t>Punjab AI Office/OneMap/data-lake/sovereign-cloud operative documents; KP cyber-response metrics; Sindh data-centre and WASL safeguards; Balochistan/GB/AJK/municipal implementation.</w:t>
      </w:r>
    </w:p>
    <w:p>
      <w:pPr>
        <w:pStyle w:val="Heading1"/>
        <w:keepNext/>
      </w:pPr>
      <w:r>
        <w:t>9. Sources</w:t>
      </w:r>
    </w:p>
    <w:p>
      <w:pPr>
        <w:pStyle w:val="SourceEntry"/>
        <w:keepLines/>
      </w:pPr>
      <w:r>
        <w:rPr>
          <w:rFonts w:ascii="Calibri" w:hAnsi="Calibri"/>
          <w:b/>
          <w:color w:val="5E6C76"/>
          <w:sz w:val="17"/>
        </w:rPr>
        <w:t xml:space="preserve">1. </w:t>
      </w:r>
      <w:hyperlink r:id="rId11">
        <w:r>
          <w:rPr>
            <w:rFonts w:ascii="Calibri" w:hAnsi="Calibri"/>
            <w:color w:val="2E74B5"/>
            <w:u w:val="none"/>
            <w:b/>
          </w:rPr>
          <w:t>Ministry of IT &amp; Telecommunication — Policies</w:t>
        </w:r>
      </w:hyperlink>
      <w:r>
        <w:rPr>
          <w:rFonts w:ascii="Calibri" w:hAnsi="Calibri"/>
          <w:color w:val="000000"/>
          <w:sz w:val="17"/>
        </w:rPr>
        <w:t xml:space="preserve"> — Live register; AI Policy approval date 31 July 2025; Data Governance Policy date 26 June 2026; accessed 28 August 2026.</w:t>
      </w:r>
    </w:p>
    <w:p>
      <w:pPr>
        <w:pStyle w:val="SourceEntry"/>
        <w:keepLines/>
      </w:pPr>
      <w:r>
        <w:rPr>
          <w:rFonts w:ascii="Calibri" w:hAnsi="Calibri"/>
          <w:b/>
          <w:color w:val="5E6C76"/>
          <w:sz w:val="17"/>
        </w:rPr>
        <w:t xml:space="preserve">2. </w:t>
      </w:r>
      <w:hyperlink r:id="rId13">
        <w:r>
          <w:rPr>
            <w:rFonts w:ascii="Calibri" w:hAnsi="Calibri"/>
            <w:color w:val="2E74B5"/>
            <w:u w:val="none"/>
            <w:b/>
          </w:rPr>
          <w:t>Pakistan Digital Authority — Consultations concluded on the National Data Governance Policy 2026</w:t>
        </w:r>
      </w:hyperlink>
      <w:r>
        <w:rPr>
          <w:rFonts w:ascii="Calibri" w:hAnsi="Calibri"/>
          <w:color w:val="000000"/>
          <w:sz w:val="17"/>
        </w:rPr>
        <w:t xml:space="preserve"> — Published 5 August 2026.</w:t>
      </w:r>
    </w:p>
    <w:p>
      <w:pPr>
        <w:pStyle w:val="SourceEntry"/>
        <w:keepLines/>
      </w:pPr>
      <w:r>
        <w:rPr>
          <w:rFonts w:ascii="Calibri" w:hAnsi="Calibri"/>
          <w:b/>
          <w:color w:val="5E6C76"/>
          <w:sz w:val="17"/>
        </w:rPr>
        <w:t xml:space="preserve">3. </w:t>
      </w:r>
      <w:hyperlink r:id="rId16">
        <w:r>
          <w:rPr>
            <w:rFonts w:ascii="Calibri" w:hAnsi="Calibri"/>
            <w:color w:val="2E74B5"/>
            <w:u w:val="none"/>
            <w:b/>
          </w:rPr>
          <w:t>Digital Nation Pakistan Standards — Publications Register</w:t>
        </w:r>
      </w:hyperlink>
      <w:r>
        <w:rPr>
          <w:rFonts w:ascii="Calibri" w:hAnsi="Calibri"/>
          <w:color w:val="000000"/>
          <w:sz w:val="17"/>
        </w:rPr>
        <w:t xml:space="preserve"> — Entries dated 26 April and 13 May 2026; live register accessed 28 August 2026.</w:t>
      </w:r>
    </w:p>
    <w:p>
      <w:pPr>
        <w:pStyle w:val="SourceEntry"/>
        <w:keepLines/>
      </w:pPr>
      <w:r>
        <w:rPr>
          <w:rFonts w:ascii="Calibri" w:hAnsi="Calibri"/>
          <w:b/>
          <w:color w:val="5E6C76"/>
          <w:sz w:val="17"/>
        </w:rPr>
        <w:t xml:space="preserve">4. </w:t>
      </w:r>
      <w:hyperlink r:id="rId14">
        <w:r>
          <w:rPr>
            <w:rFonts w:ascii="Calibri" w:hAnsi="Calibri"/>
            <w:color w:val="2E74B5"/>
            <w:u w:val="none"/>
            <w:b/>
          </w:rPr>
          <w:t>Ministry of IT &amp; Telecommunication — Legislations</w:t>
        </w:r>
      </w:hyperlink>
      <w:r>
        <w:rPr>
          <w:rFonts w:ascii="Calibri" w:hAnsi="Calibri"/>
          <w:color w:val="000000"/>
          <w:sz w:val="17"/>
        </w:rPr>
        <w:t xml:space="preserve"> — Live register; no reliable page publication time displayed; accessed 28 August 2026.</w:t>
      </w:r>
    </w:p>
    <w:p>
      <w:pPr>
        <w:pStyle w:val="SourceEntry"/>
        <w:keepLines/>
      </w:pPr>
      <w:r>
        <w:rPr>
          <w:rFonts w:ascii="Calibri" w:hAnsi="Calibri"/>
          <w:b/>
          <w:color w:val="5E6C76"/>
          <w:sz w:val="17"/>
        </w:rPr>
        <w:t xml:space="preserve">5. </w:t>
      </w:r>
      <w:hyperlink r:id="rId15">
        <w:r>
          <w:rPr>
            <w:rFonts w:ascii="Calibri" w:hAnsi="Calibri"/>
            <w:color w:val="2E74B5"/>
            <w:u w:val="none"/>
            <w:b/>
          </w:rPr>
          <w:t>Senate of Pakistan — Private Bills Register</w:t>
        </w:r>
      </w:hyperlink>
      <w:r>
        <w:rPr>
          <w:rFonts w:ascii="Calibri" w:hAnsi="Calibri"/>
          <w:color w:val="000000"/>
          <w:sz w:val="17"/>
        </w:rPr>
        <w:t xml:space="preserve"> — Live register; no reliable page publication time displayed; accessed 28 August 2026.</w:t>
      </w:r>
    </w:p>
    <w:p>
      <w:pPr>
        <w:pStyle w:val="SourceEntry"/>
        <w:keepLines/>
      </w:pPr>
      <w:r>
        <w:rPr>
          <w:rFonts w:ascii="Calibri" w:hAnsi="Calibri"/>
          <w:b/>
          <w:color w:val="5E6C76"/>
          <w:sz w:val="17"/>
        </w:rPr>
        <w:t xml:space="preserve">6. </w:t>
      </w:r>
      <w:hyperlink r:id="rId12">
        <w:r>
          <w:rPr>
            <w:rFonts w:ascii="Calibri" w:hAnsi="Calibri"/>
            <w:color w:val="2E74B5"/>
            <w:u w:val="none"/>
            <w:b/>
          </w:rPr>
          <w:t>Press Information Department — PR No. 318</w:t>
        </w:r>
      </w:hyperlink>
      <w:r>
        <w:rPr>
          <w:rFonts w:ascii="Calibri" w:hAnsi="Calibri"/>
          <w:color w:val="000000"/>
          <w:sz w:val="17"/>
        </w:rPr>
        <w:t xml:space="preserve"> — Published 28 August 2026.</w:t>
      </w:r>
    </w:p>
    <w:p>
      <w:pPr>
        <w:pStyle w:val="SourceEntry"/>
        <w:keepLines/>
      </w:pPr>
      <w:r>
        <w:rPr>
          <w:rFonts w:ascii="Calibri" w:hAnsi="Calibri"/>
          <w:b/>
          <w:color w:val="5E6C76"/>
          <w:sz w:val="17"/>
        </w:rPr>
        <w:t xml:space="preserve">7. </w:t>
      </w:r>
      <w:hyperlink r:id="rId17">
        <w:r>
          <w:rPr>
            <w:rFonts w:ascii="Calibri" w:hAnsi="Calibri"/>
            <w:color w:val="2E74B5"/>
            <w:u w:val="none"/>
            <w:b/>
          </w:rPr>
          <w:t>PKCERT — Security Advisories</w:t>
        </w:r>
      </w:hyperlink>
      <w:r>
        <w:rPr>
          <w:rFonts w:ascii="Calibri" w:hAnsi="Calibri"/>
          <w:color w:val="000000"/>
          <w:sz w:val="17"/>
        </w:rPr>
        <w:t xml:space="preserve"> — Live register; no reliable page publication time displayed; accessed 28 August 2026.</w:t>
      </w:r>
    </w:p>
    <w:p>
      <w:pPr>
        <w:pStyle w:val="SourceEntry"/>
        <w:keepLines/>
      </w:pPr>
      <w:r>
        <w:rPr>
          <w:rFonts w:ascii="Calibri" w:hAnsi="Calibri"/>
          <w:b/>
          <w:color w:val="5E6C76"/>
          <w:sz w:val="17"/>
        </w:rPr>
        <w:t xml:space="preserve">8. </w:t>
      </w:r>
      <w:hyperlink r:id="rId19">
        <w:r>
          <w:rPr>
            <w:rFonts w:ascii="Calibri" w:hAnsi="Calibri"/>
            <w:color w:val="2E74B5"/>
            <w:u w:val="none"/>
            <w:b/>
          </w:rPr>
          <w:t>Public Procurement Regulatory Authority — Active Tenders</w:t>
        </w:r>
      </w:hyperlink>
      <w:r>
        <w:rPr>
          <w:rFonts w:ascii="Calibri" w:hAnsi="Calibri"/>
          <w:color w:val="000000"/>
          <w:sz w:val="17"/>
        </w:rPr>
        <w:t xml:space="preserve"> — Live/date-only register; accessed 28 August 2026 at approximately 14:52 UTC.</w:t>
      </w:r>
    </w:p>
    <w:p>
      <w:pPr>
        <w:pStyle w:val="SourceEntry"/>
        <w:keepLines/>
      </w:pPr>
      <w:r>
        <w:rPr>
          <w:rFonts w:ascii="Calibri" w:hAnsi="Calibri"/>
          <w:b/>
          <w:color w:val="5E6C76"/>
          <w:sz w:val="17"/>
        </w:rPr>
        <w:t xml:space="preserve">9. </w:t>
      </w:r>
      <w:hyperlink r:id="rId20">
        <w:r>
          <w:rPr>
            <w:rFonts w:ascii="Calibri" w:hAnsi="Calibri"/>
            <w:color w:val="2E74B5"/>
            <w:u w:val="none"/>
            <w:b/>
          </w:rPr>
          <w:t>Public Procurement Regulatory Authority — Evaluation Results</w:t>
        </w:r>
      </w:hyperlink>
      <w:r>
        <w:rPr>
          <w:rFonts w:ascii="Calibri" w:hAnsi="Calibri"/>
          <w:color w:val="000000"/>
          <w:sz w:val="17"/>
        </w:rPr>
        <w:t xml:space="preserve"> — Live/date-only register; accessed 28 August 2026 at approximately 14:52 UTC.</w:t>
      </w:r>
    </w:p>
    <w:p>
      <w:pPr>
        <w:pStyle w:val="SourceEntry"/>
        <w:keepLines/>
      </w:pPr>
      <w:r>
        <w:rPr>
          <w:rFonts w:ascii="Calibri" w:hAnsi="Calibri"/>
          <w:b/>
          <w:color w:val="5E6C76"/>
          <w:sz w:val="17"/>
        </w:rPr>
        <w:t xml:space="preserve">10. </w:t>
      </w:r>
      <w:hyperlink r:id="rId21">
        <w:r>
          <w:rPr>
            <w:rFonts w:ascii="Calibri" w:hAnsi="Calibri"/>
            <w:color w:val="2E74B5"/>
            <w:u w:val="none"/>
            <w:b/>
          </w:rPr>
          <w:t>Public Procurement Regulatory Authority — Procurement Contracts</w:t>
        </w:r>
      </w:hyperlink>
      <w:r>
        <w:rPr>
          <w:rFonts w:ascii="Calibri" w:hAnsi="Calibri"/>
          <w:color w:val="000000"/>
          <w:sz w:val="17"/>
        </w:rPr>
        <w:t xml:space="preserve"> — Live/date-only register; accessed 28 August 2026 at approximately 14:52 UTC.</w:t>
      </w:r>
    </w:p>
    <w:p>
      <w:pPr>
        <w:pStyle w:val="SourceEntry"/>
        <w:keepLines/>
      </w:pPr>
      <w:r>
        <w:rPr>
          <w:rFonts w:ascii="Calibri" w:hAnsi="Calibri"/>
          <w:b/>
          <w:color w:val="5E6C76"/>
          <w:sz w:val="17"/>
        </w:rPr>
        <w:t xml:space="preserve">11. </w:t>
      </w:r>
      <w:hyperlink r:id="rId22">
        <w:r>
          <w:rPr>
            <w:rFonts w:ascii="Calibri" w:hAnsi="Calibri"/>
            <w:color w:val="2E74B5"/>
            <w:u w:val="none"/>
            <w:b/>
          </w:rPr>
          <w:t>Punjab Information Technology Board — Tenders</w:t>
        </w:r>
      </w:hyperlink>
      <w:r>
        <w:rPr>
          <w:rFonts w:ascii="Calibri" w:hAnsi="Calibri"/>
          <w:color w:val="000000"/>
          <w:sz w:val="17"/>
        </w:rPr>
        <w:t xml:space="preserve"> — Live/date-only register; accessed 28 August 2026.</w:t>
      </w:r>
    </w:p>
    <w:p>
      <w:pPr>
        <w:pStyle w:val="SourceEntry"/>
        <w:keepLines/>
      </w:pPr>
      <w:r>
        <w:rPr>
          <w:rFonts w:ascii="Calibri" w:hAnsi="Calibri"/>
          <w:b/>
          <w:color w:val="5E6C76"/>
          <w:sz w:val="17"/>
        </w:rPr>
        <w:t xml:space="preserve">12. </w:t>
      </w:r>
      <w:hyperlink r:id="rId18">
        <w:r>
          <w:rPr>
            <w:rFonts w:ascii="Calibri" w:hAnsi="Calibri"/>
            <w:color w:val="2E74B5"/>
            <w:u w:val="none"/>
            <w:b/>
          </w:rPr>
          <w:t>Jazz — Becomes First Operator to Reach 1,000 5G Sites</w:t>
        </w:r>
      </w:hyperlink>
      <w:r>
        <w:rPr>
          <w:rFonts w:ascii="Calibri" w:hAnsi="Calibri"/>
          <w:color w:val="000000"/>
          <w:sz w:val="17"/>
        </w:rPr>
        <w:t xml:space="preserve"> — Company release published 27 August 2026.</w:t>
      </w:r>
    </w:p>
    <w:p>
      <w:pPr>
        <w:pStyle w:val="SourceEntry"/>
        <w:keepLines/>
      </w:pPr>
      <w:r>
        <w:rPr>
          <w:rFonts w:ascii="Calibri" w:hAnsi="Calibri"/>
          <w:b/>
          <w:color w:val="5E6C76"/>
          <w:sz w:val="17"/>
        </w:rPr>
        <w:t xml:space="preserve">13. </w:t>
      </w:r>
      <w:hyperlink r:id="rId23">
        <w:r>
          <w:rPr>
            <w:rFonts w:ascii="Calibri" w:hAnsi="Calibri"/>
            <w:color w:val="2E74B5"/>
            <w:u w:val="none"/>
            <w:b/>
          </w:rPr>
          <w:t>Associated Press of Pakistan — Punjab big-data expo address</w:t>
        </w:r>
      </w:hyperlink>
      <w:r>
        <w:rPr>
          <w:rFonts w:ascii="Calibri" w:hAnsi="Calibri"/>
          <w:color w:val="000000"/>
          <w:sz w:val="17"/>
        </w:rPr>
        <w:t xml:space="preserve"> — Published 28 August 2026; page displays no reliable posting time.</w:t>
      </w:r>
    </w:p>
    <w:p>
      <w:pPr>
        <w:pStyle w:val="SourceEntry"/>
        <w:keepLines/>
      </w:pPr>
      <w:r>
        <w:rPr>
          <w:rFonts w:ascii="Calibri" w:hAnsi="Calibri"/>
          <w:b/>
          <w:color w:val="5E6C76"/>
          <w:sz w:val="17"/>
        </w:rPr>
        <w:t xml:space="preserve">14. </w:t>
      </w:r>
      <w:hyperlink r:id="rId24">
        <w:r>
          <w:rPr>
            <w:rFonts w:ascii="Calibri" w:hAnsi="Calibri"/>
            <w:color w:val="2E74B5"/>
            <w:u w:val="none"/>
            <w:b/>
          </w:rPr>
          <w:t>Khyber Pakhtunkhwa DGIPR — ST&amp;IT briefing</w:t>
        </w:r>
      </w:hyperlink>
      <w:r>
        <w:rPr>
          <w:rFonts w:ascii="Calibri" w:hAnsi="Calibri"/>
          <w:color w:val="000000"/>
          <w:sz w:val="17"/>
        </w:rPr>
        <w:t xml:space="preserve"> — Published/date-stamped 28 August 2026; describes 27 August briefing; no reliable posting time.</w:t>
      </w:r>
    </w:p>
    <w:p>
      <w:pPr>
        <w:pStyle w:val="SourceEntry"/>
        <w:keepLines/>
      </w:pPr>
      <w:r>
        <w:rPr>
          <w:rFonts w:ascii="Calibri" w:hAnsi="Calibri"/>
          <w:b/>
          <w:color w:val="5E6C76"/>
          <w:sz w:val="17"/>
        </w:rPr>
        <w:t xml:space="preserve">15. </w:t>
      </w:r>
      <w:hyperlink r:id="rId25">
        <w:r>
          <w:rPr>
            <w:rFonts w:ascii="Calibri" w:hAnsi="Calibri"/>
            <w:color w:val="2E74B5"/>
            <w:u w:val="none"/>
            <w:b/>
          </w:rPr>
          <w:t>Google — Office Locations</w:t>
        </w:r>
      </w:hyperlink>
      <w:r>
        <w:rPr>
          <w:rFonts w:ascii="Calibri" w:hAnsi="Calibri"/>
          <w:color w:val="000000"/>
          <w:sz w:val="17"/>
        </w:rPr>
        <w:t xml:space="preserve"> — Live canonical directory; no Pakistan/Islamabad listing when accessed 28 August 2026.</w:t>
      </w:r>
    </w:p>
    <w:p>
      <w:pPr>
        <w:pStyle w:val="SourceEntry"/>
        <w:keepLines/>
      </w:pPr>
      <w:r>
        <w:rPr>
          <w:rFonts w:ascii="Calibri" w:hAnsi="Calibri"/>
          <w:b/>
          <w:color w:val="5E6C76"/>
          <w:sz w:val="17"/>
        </w:rPr>
        <w:t xml:space="preserve">16. </w:t>
      </w:r>
      <w:hyperlink r:id="rId26">
        <w:r>
          <w:rPr>
            <w:rFonts w:ascii="Calibri" w:hAnsi="Calibri"/>
            <w:color w:val="2E74B5"/>
            <w:u w:val="none"/>
            <w:b/>
          </w:rPr>
          <w:t>Google — Cloud Locations</w:t>
        </w:r>
      </w:hyperlink>
      <w:r>
        <w:rPr>
          <w:rFonts w:ascii="Calibri" w:hAnsi="Calibri"/>
          <w:color w:val="000000"/>
          <w:sz w:val="17"/>
        </w:rPr>
        <w:t xml:space="preserve"> — Live canonical directory; no Pakistan cloud region when accessed 28 August 2026.</w:t>
      </w:r>
    </w:p>
    <w:p>
      <w:pPr>
        <w:pStyle w:val="SourceEntry"/>
        <w:keepLines/>
      </w:pPr>
      <w:r>
        <w:rPr>
          <w:rFonts w:ascii="Calibri" w:hAnsi="Calibri"/>
          <w:b/>
          <w:color w:val="5E6C76"/>
          <w:sz w:val="17"/>
        </w:rPr>
        <w:t xml:space="preserve">17. </w:t>
      </w:r>
      <w:hyperlink r:id="rId27">
        <w:r>
          <w:rPr>
            <w:rFonts w:ascii="Calibri" w:hAnsi="Calibri"/>
            <w:color w:val="2E74B5"/>
            <w:u w:val="none"/>
            <w:b/>
          </w:rPr>
          <w:t>Google Data Centers — Locations</w:t>
        </w:r>
      </w:hyperlink>
      <w:r>
        <w:rPr>
          <w:rFonts w:ascii="Calibri" w:hAnsi="Calibri"/>
          <w:color w:val="000000"/>
          <w:sz w:val="17"/>
        </w:rPr>
        <w:t xml:space="preserve"> — Live canonical directory; no Pakistan owned-data-centre listing when accessed 28 August 2026.</w:t>
      </w:r>
    </w:p>
    <w:p>
      <w:pPr>
        <w:shd w:fill="F2F4F7"/>
        <w:pBdr>
          <w:left w:val="single" w:sz="8" w:space="8" w:color="C8D2DA"/>
        </w:pBdr>
        <w:spacing w:before="80" w:after="160"/>
        <w:ind w:left="173" w:right="115"/>
      </w:pPr>
      <w:r>
        <w:rPr>
          <w:rFonts w:ascii="Calibri" w:hAnsi="Calibri"/>
          <w:b/>
          <w:color w:val="1F4D78"/>
          <w:sz w:val="17"/>
        </w:rPr>
        <w:t xml:space="preserve">Method note. </w:t>
      </w:r>
      <w:r>
        <w:rPr>
          <w:rFonts w:ascii="Calibri" w:hAnsi="Calibri"/>
          <w:color w:val="5E6C76"/>
          <w:sz w:val="17"/>
        </w:rPr>
        <w:t>Sources were opened and inspected. Consequential claims were checked against primary evidence where available and given the narrowest defensible status. “No development” means no authenticated public development found by the cutoff; it does not exclude unpublished activity.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C76"/>
        <w:sz w:val="17"/>
      </w:rPr>
      <w:t xml:space="preserve">28 AUGUST 2026  |  </w:t>
    </w:r>
    <w:r>
      <w:rPr>
        <w:rFonts w:ascii="Calibri" w:hAnsi="Calibri"/>
        <w:color w:val="5E6C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C76"/>
        <w:sz w:val="17"/>
      </w:rPr>
      <w:t>PAKISTAN AI POLICY MONITOR</w:t>
    </w:r>
    <w:r>
      <w:rPr>
        <w:rFonts w:ascii="Calibri" w:hAnsi="Calibri"/>
        <w:b/>
        <w:color w:val="2E74B5"/>
        <w:sz w:val="17"/>
      </w:rPr>
      <w:t xml:space="preserve">  |  DAILY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abel">
    <w:name w:val="Report Label"/>
    <w:pPr>
      <w:spacing w:before="0" w:after="80"/>
    </w:pPr>
    <w:rPr>
      <w:rFonts w:ascii="Calibri" w:hAnsi="Calibri"/>
      <w:b/>
      <w:color w:val="2E74B5"/>
      <w:sz w:val="18"/>
    </w:rPr>
  </w:style>
  <w:style w:type="paragraph" w:customStyle="1" w:styleId="SourceEntry">
    <w:name w:val="Source Entry"/>
    <w:pPr>
      <w:spacing w:after="60" w:line="240" w:lineRule="auto"/>
      <w:ind w:left="360" w:hanging="360"/>
    </w:pPr>
    <w:rPr>
      <w:rFonts w:ascii="Calibri" w:hAnsi="Calibri"/>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tt.gov.pk/Policies" TargetMode="External"/><Relationship Id="rId12" Type="http://schemas.openxmlformats.org/officeDocument/2006/relationships/hyperlink" Target="https://pid.gov.pk/site/press_detail/33741" TargetMode="External"/><Relationship Id="rId13" Type="http://schemas.openxmlformats.org/officeDocument/2006/relationships/hyperlink" Target="https://pda.gov.pk/press-details.php?id=pda-dgp-consultation" TargetMode="External"/><Relationship Id="rId14" Type="http://schemas.openxmlformats.org/officeDocument/2006/relationships/hyperlink" Target="https://www.moitt.gov.pk/Legislations" TargetMode="External"/><Relationship Id="rId15" Type="http://schemas.openxmlformats.org/officeDocument/2006/relationships/hyperlink" Target="https://senate.gov.pk/en/pbs.php?catid=1&amp;cattitle=Bills&amp;leftcatid=278&amp;subcatid=276" TargetMode="External"/><Relationship Id="rId16" Type="http://schemas.openxmlformats.org/officeDocument/2006/relationships/hyperlink" Target="https://standards.dnp.gov.pk/register.html" TargetMode="External"/><Relationship Id="rId17" Type="http://schemas.openxmlformats.org/officeDocument/2006/relationships/hyperlink" Target="https://pkcert.gov.pk/advisories.asp" TargetMode="External"/><Relationship Id="rId18" Type="http://schemas.openxmlformats.org/officeDocument/2006/relationships/hyperlink" Target="https://jazz.com.pk/media-center/detail/jazz-becomes-first-operator-to-reach-1000-5g-sites" TargetMode="External"/><Relationship Id="rId19" Type="http://schemas.openxmlformats.org/officeDocument/2006/relationships/hyperlink" Target="https://epms.ppra.gov.pk/public/tenders/active-tenders?page=1" TargetMode="External"/><Relationship Id="rId20" Type="http://schemas.openxmlformats.org/officeDocument/2006/relationships/hyperlink" Target="https://epms.ppra.gov.pk/public/evaluations?page=1" TargetMode="External"/><Relationship Id="rId21" Type="http://schemas.openxmlformats.org/officeDocument/2006/relationships/hyperlink" Target="https://epms.ppra.gov.pk/public/contracts?page=1" TargetMode="External"/><Relationship Id="rId22" Type="http://schemas.openxmlformats.org/officeDocument/2006/relationships/hyperlink" Target="https://pitb.gov.pk/tendernotices" TargetMode="External"/><Relationship Id="rId23" Type="http://schemas.openxmlformats.org/officeDocument/2006/relationships/hyperlink" Target="https://www.app.com.pk/punjab/maryam-delivers-thought-provoking-address-at-big-data-industry-expo/" TargetMode="External"/><Relationship Id="rId24" Type="http://schemas.openxmlformats.org/officeDocument/2006/relationships/hyperlink" Target="https://dgipr.kp.gov.pk/stit-28-8-26/" TargetMode="External"/><Relationship Id="rId25" Type="http://schemas.openxmlformats.org/officeDocument/2006/relationships/hyperlink" Target="https://about.google/company-info/locations/" TargetMode="External"/><Relationship Id="rId26" Type="http://schemas.openxmlformats.org/officeDocument/2006/relationships/hyperlink" Target="https://cloud.google.com/about/locations" TargetMode="External"/><Relationship Id="rId27" Type="http://schemas.openxmlformats.org/officeDocument/2006/relationships/hyperlink" Target="https://www.datacenters.google/lo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28 August 2026</dc:title>
  <dc:subject>Pakistan AI policy, data regulation, digital infrastructure, procurement and investment monitoring</dc:subject>
  <dc:creator>Pakistan AI Policy Monitor</dc:creator>
  <cp:keywords>Pakistan, artificial intelligence, data protection, cybersecurity, cloud, data centre, telecom, procurement</cp:keywords>
  <dc:description>generated by python-docx</dc:description>
  <cp:lastModifiedBy/>
  <cp:revision>1</cp:revision>
  <dcterms:created xsi:type="dcterms:W3CDTF">2013-12-23T23:15:00Z</dcterms:created>
  <dcterms:modified xsi:type="dcterms:W3CDTF">2013-12-23T23:15:00Z</dcterms:modified>
  <cp:category/>
</cp:coreProperties>
</file>