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40"/>
        <w:jc w:val="center"/>
      </w:pPr>
      <w:r>
        <w:rPr>
          <w:rFonts w:ascii="Calibri" w:hAnsi="Calibri"/>
          <w:b/>
          <w:color w:val="172B3A"/>
          <w:sz w:val="50"/>
        </w:rPr>
        <w:t>PAKISTAN AI POLICY &amp;</w:t>
        <w:br/>
        <w:t>INFRASTRUCTURE DAILY BRIEF</w:t>
      </w:r>
    </w:p>
    <w:p>
      <w:pPr>
        <w:spacing w:after="400"/>
        <w:jc w:val="center"/>
      </w:pPr>
      <w:r>
        <w:rPr>
          <w:b/>
          <w:color w:val="1F4E78"/>
          <w:sz w:val="32"/>
        </w:rPr>
        <w:t>29 August 2026</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6F8FA"/>
          </w:tcPr>
          <w:p>
            <w:pPr>
              <w:spacing w:after="0"/>
              <w:jc w:val="center"/>
            </w:pPr>
            <w:r>
              <w:rPr>
                <w:color w:val="172B3A"/>
                <w:sz w:val="21"/>
              </w:rPr>
              <w:t>Previous cutoff</w:t>
              <w:br/>
              <w:t>29 Aug 2026, 19:24 PKT</w:t>
            </w:r>
          </w:p>
        </w:tc>
        <w:tc>
          <w:tcPr>
            <w:tcW w:type="dxa" w:w="4680"/>
            <w:tcMar>
              <w:top w:w="80" w:type="dxa"/>
              <w:start w:w="120" w:type="dxa"/>
              <w:bottom w:w="80" w:type="dxa"/>
              <w:end w:w="120" w:type="dxa"/>
            </w:tcMar>
            <w:vAlign w:val="center"/>
            <w:shd w:fill="F6F8FA"/>
          </w:tcPr>
          <w:p>
            <w:pPr>
              <w:spacing w:after="0"/>
              <w:jc w:val="center"/>
            </w:pPr>
            <w:r>
              <w:rPr>
                <w:color w:val="172B3A"/>
                <w:sz w:val="21"/>
              </w:rPr>
              <w:t>Research cutoff</w:t>
              <w:br/>
              <w:t>29 Aug 2026, 19:38 PKT</w:t>
            </w:r>
          </w:p>
        </w:tc>
      </w:tr>
      <w:tr>
        <w:tc>
          <w:tcPr>
            <w:tcW w:type="dxa" w:w="4680"/>
            <w:tcMar>
              <w:top w:w="80" w:type="dxa"/>
              <w:start w:w="120" w:type="dxa"/>
              <w:bottom w:w="80" w:type="dxa"/>
              <w:end w:w="120" w:type="dxa"/>
            </w:tcMar>
            <w:vAlign w:val="center"/>
            <w:shd w:fill="F6F8FA"/>
          </w:tcPr>
          <w:p>
            <w:pPr>
              <w:spacing w:after="0"/>
              <w:jc w:val="center"/>
            </w:pPr>
            <w:r>
              <w:rPr>
                <w:color w:val="172B3A"/>
                <w:sz w:val="21"/>
              </w:rPr>
              <w:t>Strict comparison window</w:t>
              <w:br/>
              <w:t>14 minutes</w:t>
            </w:r>
          </w:p>
        </w:tc>
        <w:tc>
          <w:tcPr>
            <w:tcW w:type="dxa" w:w="4680"/>
            <w:tcMar>
              <w:top w:w="80" w:type="dxa"/>
              <w:start w:w="120" w:type="dxa"/>
              <w:bottom w:w="80" w:type="dxa"/>
              <w:end w:w="120" w:type="dxa"/>
            </w:tcMar>
            <w:vAlign w:val="center"/>
            <w:shd w:fill="F6F8FA"/>
          </w:tcPr>
          <w:p>
            <w:pPr>
              <w:spacing w:after="0"/>
              <w:jc w:val="center"/>
            </w:pPr>
            <w:r>
              <w:rPr>
                <w:color w:val="172B3A"/>
                <w:sz w:val="21"/>
              </w:rPr>
              <w:t>Overall finding</w:t>
              <w:br/>
              <w:t>No material post-cutoff change verified</w:t>
            </w:r>
          </w:p>
        </w:tc>
      </w:tr>
    </w:tbl>
    <w:p>
      <w:pPr>
        <w:spacing w:before="360" w:after="100"/>
        <w:jc w:val="center"/>
      </w:pPr>
      <w:r>
        <w:rPr>
          <w:b/>
          <w:color w:val="1F4E78"/>
          <w:sz w:val="22"/>
        </w:rPr>
        <w:t>Bottom line</w:t>
      </w:r>
    </w:p>
    <w:p>
      <w:pPr>
        <w:ind w:left="648" w:right="648"/>
        <w:jc w:val="center"/>
      </w:pPr>
      <w:r>
        <w:t>The authoritative registers and named operational indicators did not move after the previous briefing. Several same-day stories remain decision-relevant, but they were already captured before 19:24 PKT and are presented only as baseline or watchlist items, not as new developments.</w:t>
      </w:r>
    </w:p>
    <w:p>
      <w:pPr>
        <w:spacing w:before="400"/>
        <w:jc w:val="center"/>
      </w:pPr>
      <w:r>
        <w:rPr>
          <w:b/>
          <w:color w:val="5B6573"/>
        </w:rPr>
        <w:t>Evidence standard</w:t>
      </w:r>
    </w:p>
    <w:p>
      <w:pPr>
        <w:ind w:left="792" w:right="792"/>
        <w:jc w:val="center"/>
      </w:pPr>
      <w:r>
        <w:rPr>
          <w:color w:val="5B6573"/>
          <w:sz w:val="19"/>
        </w:rPr>
        <w:t>Primary Pakistani registers and official releases were checked first, with company directories and credible reporting used for confirmation. “No change” has medium confidence because the window is narrow and publication/indexing can lag; named register states carry high confidence.</w:t>
      </w:r>
    </w:p>
    <w:p>
      <w:r>
        <w:br w:type="page"/>
      </w:r>
    </w:p>
    <w:p>
      <w:pPr>
        <w:pStyle w:val="Heading1"/>
      </w:pPr>
      <w:r>
        <w:t>1. Executive summary</w:t>
      </w:r>
    </w:p>
    <w:p>
      <w:pPr>
        <w:pStyle w:val="ListBullet"/>
        <w:keepNext w:val="0"/>
        <w:keepLines/>
      </w:pPr>
      <w:r>
        <w:t>No material post-cutoff development was verified in AI law or strategy, horizontal data protection, cybersecurity or digital policy, compute/cloud/data-centre delivery, connectivity or energy dependencies, public funding or procurement, provincial delivery, major investment, or Google’s operational presence.</w:t>
      </w:r>
    </w:p>
    <w:p>
      <w:pPr>
        <w:pStyle w:val="ListBullet"/>
        <w:keepNext w:val="0"/>
        <w:keepLines/>
      </w:pPr>
      <w:r>
        <w:t>The Ministry of IT and Telecommunication register still records the National AI Policy as Approved, while the Data Governance Policy 2026 remains Draft. No implementation rulebook, public AI register, audit regime, regulatory-sandbox instrument, compute-grid operating framework, or enforcement measure surfaced.</w:t>
      </w:r>
    </w:p>
    <w:p>
      <w:pPr>
        <w:pStyle w:val="ListBullet"/>
        <w:keepNext w:val="0"/>
        <w:keepLines/>
      </w:pPr>
      <w:r>
        <w:t>The May 2023 Personal Data Protection Bill remains Draft. DNP/WASL still consists of four Pilot publications, two marked PUB and two WD; this is not a final binding horizontal privacy regime.</w:t>
      </w:r>
    </w:p>
    <w:p>
      <w:pPr>
        <w:pStyle w:val="ListBullet"/>
        <w:keepNext w:val="0"/>
        <w:keepLines/>
      </w:pPr>
      <w:r>
        <w:t>PKCERT’s public advisory register remains topped by Advisory 17. The 2026 telecom amendment bill remains withdrawn, with no authenticated successor text identified.</w:t>
      </w:r>
    </w:p>
    <w:p>
      <w:pPr>
        <w:pStyle w:val="ListBullet"/>
        <w:keepNext w:val="0"/>
        <w:keepLines/>
      </w:pPr>
      <w:r>
        <w:t>PPRA’s live registers remained 1,815 tenders, 2,854 evaluations and 543 contracts, a delta of 0/0/0. The National AI Hubs and State Life Karachi core-switch procurements remain tender-stage; FAB spectrum monitoring remains contracted, not proven commissioned.</w:t>
      </w:r>
    </w:p>
    <w:p>
      <w:pPr>
        <w:pStyle w:val="ListBullet"/>
        <w:keepNext w:val="0"/>
        <w:keepLines/>
      </w:pPr>
      <w:r>
        <w:t>Google Careers still shows three Pakistan-filtered roles, including two explicit Karachi positions, while Google’s canonical office, Cloud-region and owned-data-centre directories still publish no Pakistan entry. This is a hiring signal and government-backed inauguration claim, not proof of a disclosed local Cloud region, owned data centre, headcount or hosting footprint.</w:t>
      </w:r>
    </w:p>
    <w:p>
      <w:pPr>
        <w:pStyle w:val="Heading2"/>
      </w:pPr>
      <w:r>
        <w:t>Status snapshot</w:t>
      </w:r>
    </w:p>
    <w:tbl>
      <w:tblPr>
        <w:tblStyle w:val="TableGrid"/>
        <w:tblW w:type="dxa" w:w="9360"/>
        <w:jc w:val="left"/>
        <w:tblLayout w:type="fixed"/>
        <w:tblLook w:firstColumn="1" w:firstRow="1" w:lastColumn="0" w:lastRow="0" w:noHBand="0" w:noVBand="1" w:val="04A0"/>
        <w:tblInd w:w="120" w:type="dxa"/>
      </w:tblPr>
      <w:tblGrid>
        <w:gridCol w:w="2700"/>
        <w:gridCol w:w="1500"/>
        <w:gridCol w:w="3180"/>
        <w:gridCol w:w="1980"/>
      </w:tblGrid>
      <w:tr>
        <w:trPr>
          <w:tblHeader w:val="true"/>
        </w:trPr>
        <w:tc>
          <w:tcPr>
            <w:tcW w:type="dxa" w:w="2700"/>
            <w:tcMar>
              <w:top w:w="80" w:type="dxa"/>
              <w:start w:w="120" w:type="dxa"/>
              <w:bottom w:w="80" w:type="dxa"/>
              <w:end w:w="120" w:type="dxa"/>
            </w:tcMar>
            <w:shd w:fill="EEF3F7"/>
          </w:tcPr>
          <w:p>
            <w:r>
              <w:rPr>
                <w:b/>
              </w:rPr>
              <w:t>Track</w:t>
            </w:r>
          </w:p>
        </w:tc>
        <w:tc>
          <w:tcPr>
            <w:tcW w:type="dxa" w:w="1500"/>
            <w:tcMar>
              <w:top w:w="80" w:type="dxa"/>
              <w:start w:w="120" w:type="dxa"/>
              <w:bottom w:w="80" w:type="dxa"/>
              <w:end w:w="120" w:type="dxa"/>
            </w:tcMar>
            <w:shd w:fill="EEF3F7"/>
          </w:tcPr>
          <w:p>
            <w:r>
              <w:rPr>
                <w:b/>
              </w:rPr>
              <w:t>Current status</w:t>
            </w:r>
          </w:p>
        </w:tc>
        <w:tc>
          <w:tcPr>
            <w:tcW w:type="dxa" w:w="3180"/>
            <w:tcMar>
              <w:top w:w="80" w:type="dxa"/>
              <w:start w:w="120" w:type="dxa"/>
              <w:bottom w:w="80" w:type="dxa"/>
              <w:end w:w="120" w:type="dxa"/>
            </w:tcMar>
            <w:shd w:fill="EEF3F7"/>
          </w:tcPr>
          <w:p>
            <w:r>
              <w:rPr>
                <w:b/>
              </w:rPr>
              <w:t>Strict delta</w:t>
            </w:r>
          </w:p>
        </w:tc>
        <w:tc>
          <w:tcPr>
            <w:tcW w:type="dxa" w:w="1980"/>
            <w:tcMar>
              <w:top w:w="80" w:type="dxa"/>
              <w:start w:w="120" w:type="dxa"/>
              <w:bottom w:w="80" w:type="dxa"/>
              <w:end w:w="120" w:type="dxa"/>
            </w:tcMar>
            <w:shd w:fill="EEF3F7"/>
          </w:tcPr>
          <w:p>
            <w:r>
              <w:rPr>
                <w:b/>
              </w:rPr>
              <w:t>Confidence</w:t>
            </w:r>
          </w:p>
        </w:tc>
      </w:tr>
      <w:tr>
        <w:tc>
          <w:tcPr>
            <w:tcW w:type="dxa" w:w="2700"/>
            <w:vAlign w:val="center"/>
          </w:tcPr>
          <w:p>
            <w:r>
              <w:t>AI policy</w:t>
            </w:r>
          </w:p>
        </w:tc>
        <w:tc>
          <w:tcPr>
            <w:tcW w:type="dxa" w:w="1500"/>
            <w:vAlign w:val="center"/>
          </w:tcPr>
          <w:p>
            <w:r>
              <w:rPr>
                <w:color w:val="1F4E78"/>
              </w:rPr>
              <w:t>Approved policy</w:t>
            </w:r>
          </w:p>
        </w:tc>
        <w:tc>
          <w:tcPr>
            <w:tcW w:type="dxa" w:w="3180"/>
            <w:vAlign w:val="center"/>
          </w:tcPr>
          <w:p>
            <w:r>
              <w:t>None</w:t>
            </w:r>
          </w:p>
        </w:tc>
        <w:tc>
          <w:tcPr>
            <w:tcW w:type="dxa" w:w="1980"/>
            <w:vAlign w:val="center"/>
          </w:tcPr>
          <w:p>
            <w:r>
              <w:t>High / medium</w:t>
            </w:r>
          </w:p>
        </w:tc>
      </w:tr>
      <w:tr>
        <w:tc>
          <w:tcPr>
            <w:tcW w:type="dxa" w:w="2700"/>
            <w:vAlign w:val="center"/>
          </w:tcPr>
          <w:p>
            <w:r>
              <w:t>Data protection</w:t>
            </w:r>
          </w:p>
        </w:tc>
        <w:tc>
          <w:tcPr>
            <w:tcW w:type="dxa" w:w="1500"/>
            <w:vAlign w:val="center"/>
          </w:tcPr>
          <w:p>
            <w:r>
              <w:rPr>
                <w:color w:val="1F4E78"/>
              </w:rPr>
              <w:t>Draft instruments</w:t>
            </w:r>
          </w:p>
        </w:tc>
        <w:tc>
          <w:tcPr>
            <w:tcW w:type="dxa" w:w="3180"/>
            <w:vAlign w:val="center"/>
          </w:tcPr>
          <w:p>
            <w:r>
              <w:t>None</w:t>
            </w:r>
          </w:p>
        </w:tc>
        <w:tc>
          <w:tcPr>
            <w:tcW w:type="dxa" w:w="1980"/>
            <w:vAlign w:val="center"/>
          </w:tcPr>
          <w:p>
            <w:r>
              <w:t>High / medium</w:t>
            </w:r>
          </w:p>
        </w:tc>
      </w:tr>
      <w:tr>
        <w:tc>
          <w:tcPr>
            <w:tcW w:type="dxa" w:w="2700"/>
            <w:vAlign w:val="center"/>
          </w:tcPr>
          <w:p>
            <w:r>
              <w:t>Cyber / telecom</w:t>
            </w:r>
          </w:p>
        </w:tc>
        <w:tc>
          <w:tcPr>
            <w:tcW w:type="dxa" w:w="1500"/>
            <w:vAlign w:val="center"/>
          </w:tcPr>
          <w:p>
            <w:r>
              <w:rPr>
                <w:color w:val="1F4E78"/>
              </w:rPr>
              <w:t>No new instrument</w:t>
            </w:r>
          </w:p>
        </w:tc>
        <w:tc>
          <w:tcPr>
            <w:tcW w:type="dxa" w:w="3180"/>
            <w:vAlign w:val="center"/>
          </w:tcPr>
          <w:p>
            <w:r>
              <w:t>None</w:t>
            </w:r>
          </w:p>
        </w:tc>
        <w:tc>
          <w:tcPr>
            <w:tcW w:type="dxa" w:w="1980"/>
            <w:vAlign w:val="center"/>
          </w:tcPr>
          <w:p>
            <w:r>
              <w:t>High / medium</w:t>
            </w:r>
          </w:p>
        </w:tc>
      </w:tr>
      <w:tr>
        <w:tc>
          <w:tcPr>
            <w:tcW w:type="dxa" w:w="2700"/>
            <w:vAlign w:val="center"/>
          </w:tcPr>
          <w:p>
            <w:r>
              <w:t>Procurement</w:t>
            </w:r>
          </w:p>
        </w:tc>
        <w:tc>
          <w:tcPr>
            <w:tcW w:type="dxa" w:w="1500"/>
            <w:vAlign w:val="center"/>
          </w:tcPr>
          <w:p>
            <w:r>
              <w:rPr>
                <w:color w:val="1F4E78"/>
              </w:rPr>
              <w:t>Tender / contract stages</w:t>
            </w:r>
          </w:p>
        </w:tc>
        <w:tc>
          <w:tcPr>
            <w:tcW w:type="dxa" w:w="3180"/>
            <w:vAlign w:val="center"/>
          </w:tcPr>
          <w:p>
            <w:r>
              <w:t>0 / 0 / 0</w:t>
            </w:r>
          </w:p>
        </w:tc>
        <w:tc>
          <w:tcPr>
            <w:tcW w:type="dxa" w:w="1980"/>
            <w:vAlign w:val="center"/>
          </w:tcPr>
          <w:p>
            <w:r>
              <w:t>High</w:t>
            </w:r>
          </w:p>
        </w:tc>
      </w:tr>
      <w:tr>
        <w:tc>
          <w:tcPr>
            <w:tcW w:type="dxa" w:w="2700"/>
            <w:vAlign w:val="center"/>
          </w:tcPr>
          <w:p>
            <w:r>
              <w:t>Compute / cloud</w:t>
            </w:r>
          </w:p>
        </w:tc>
        <w:tc>
          <w:tcPr>
            <w:tcW w:type="dxa" w:w="1500"/>
            <w:vAlign w:val="center"/>
          </w:tcPr>
          <w:p>
            <w:r>
              <w:rPr>
                <w:color w:val="1F4E78"/>
              </w:rPr>
              <w:t>Plans and tenders</w:t>
            </w:r>
          </w:p>
        </w:tc>
        <w:tc>
          <w:tcPr>
            <w:tcW w:type="dxa" w:w="3180"/>
            <w:vAlign w:val="center"/>
          </w:tcPr>
          <w:p>
            <w:r>
              <w:t>No delivery milestone</w:t>
            </w:r>
          </w:p>
        </w:tc>
        <w:tc>
          <w:tcPr>
            <w:tcW w:type="dxa" w:w="1980"/>
            <w:vAlign w:val="center"/>
          </w:tcPr>
          <w:p>
            <w:r>
              <w:t>Medium</w:t>
            </w:r>
          </w:p>
        </w:tc>
      </w:tr>
      <w:tr>
        <w:tc>
          <w:tcPr>
            <w:tcW w:type="dxa" w:w="2700"/>
            <w:vAlign w:val="center"/>
          </w:tcPr>
          <w:p>
            <w:r>
              <w:t>Programs / investment</w:t>
            </w:r>
          </w:p>
        </w:tc>
        <w:tc>
          <w:tcPr>
            <w:tcW w:type="dxa" w:w="1500"/>
            <w:vAlign w:val="center"/>
          </w:tcPr>
          <w:p>
            <w:r>
              <w:rPr>
                <w:color w:val="1F4E78"/>
              </w:rPr>
              <w:t>Announcements / MoUs</w:t>
            </w:r>
          </w:p>
        </w:tc>
        <w:tc>
          <w:tcPr>
            <w:tcW w:type="dxa" w:w="3180"/>
            <w:vAlign w:val="center"/>
          </w:tcPr>
          <w:p>
            <w:r>
              <w:t>No release or realised spend</w:t>
            </w:r>
          </w:p>
        </w:tc>
        <w:tc>
          <w:tcPr>
            <w:tcW w:type="dxa" w:w="1980"/>
            <w:vAlign w:val="center"/>
          </w:tcPr>
          <w:p>
            <w:r>
              <w:t>Medium</w:t>
            </w:r>
          </w:p>
        </w:tc>
      </w:tr>
    </w:tbl>
    <w:p>
      <w:pPr>
        <w:pStyle w:val="Heading2"/>
      </w:pPr>
      <w:r>
        <w:t>Method and cutoff</w:t>
      </w:r>
    </w:p>
    <w:p>
      <w:r>
        <w:t>Research ran through approximately 19:38 PKT on 29 August 2026 and was compared with the saved 19:24 PKT cutoff. The strict window is therefore about 14 minutes. Same-day sources published before the cutoff are retained only where needed to explain the live baseline. Mutable registers were opened directly; search snippets were not treated as evidence. PTA pages timed out during one research track, and that limits confidence in the broad no-change conclusion.</w:t>
      </w:r>
    </w:p>
    <w:p>
      <w:pPr>
        <w:pStyle w:val="Heading1"/>
      </w:pPr>
      <w:r>
        <w:t>2. Policy, regulation, and governance</w:t>
      </w:r>
    </w:p>
    <w:p>
      <w:pPr>
        <w:pStyle w:val="ItemLabel"/>
      </w:pPr>
      <w:r>
        <w:t>National AI Policy: approved, but implementation instruments remain absent</w:t>
      </w:r>
    </w:p>
    <w:p>
      <w:pPr>
        <w:spacing w:after="60"/>
      </w:pPr>
      <w:r>
        <w:rPr>
          <w:b/>
          <w:color w:val="1F4E78"/>
        </w:rPr>
        <w:t xml:space="preserve">Status: </w:t>
      </w:r>
      <w:r>
        <w:t>Approved policy; no newly verified implementing rule, standard, appropriation, operating body or enforcement action.</w:t>
      </w:r>
    </w:p>
    <w:p>
      <w:pPr>
        <w:spacing w:after="60"/>
      </w:pPr>
      <w:r>
        <w:rPr>
          <w:b/>
          <w:color w:val="1F4E78"/>
        </w:rPr>
        <w:t xml:space="preserve">Institution / location: </w:t>
      </w:r>
      <w:r>
        <w:t>Ministry of IT and Telecommunication (MoITT), federal.</w:t>
      </w:r>
    </w:p>
    <w:p>
      <w:pPr>
        <w:spacing w:after="60"/>
      </w:pPr>
      <w:r>
        <w:rPr>
          <w:b/>
          <w:color w:val="1F4E78"/>
        </w:rPr>
        <w:t xml:space="preserve">Evidence: </w:t>
      </w:r>
      <w:r>
        <w:t>MoITT’s live policy register continues to list the National Artificial Intelligence Policy as Approved with an approval date of 31 July 2025. The policy text describes intended sandboxes, a national AI compute grid, public-sector transparency and lifecycle controls, but the register does not itself prove implementation.</w:t>
      </w:r>
      <w:r>
        <w:t xml:space="preserve"> </w:t>
      </w:r>
      <w:hyperlink r:id="rId11">
        <w:r>
          <w:rPr>
            <w:rFonts w:ascii="Calibri" w:hAnsi="Calibri"/>
            <w:color w:val="1F4E78"/>
            <w:u w:val="single"/>
          </w:rPr>
          <w:t>Source</w:t>
        </w:r>
      </w:hyperlink>
    </w:p>
    <w:p>
      <w:pPr>
        <w:spacing w:after="60"/>
      </w:pPr>
      <w:r>
        <w:rPr>
          <w:b/>
          <w:color w:val="1F4E78"/>
        </w:rPr>
        <w:t xml:space="preserve">What changed: </w:t>
      </w:r>
      <w:r>
        <w:t>No change after 19:24 PKT.</w:t>
      </w:r>
    </w:p>
    <w:p>
      <w:pPr>
        <w:spacing w:after="60"/>
      </w:pPr>
      <w:r>
        <w:rPr>
          <w:b/>
          <w:color w:val="1F4E78"/>
        </w:rPr>
        <w:t xml:space="preserve">Why it matters: </w:t>
      </w:r>
      <w:r>
        <w:t>Companies and agencies should treat policy goals as direction, not as a substitute for operative procurement terms, sector rules, notified standards or statutory duties. Investors still lack public operating details for compute access, pricing, governance and accepted workloads.</w:t>
      </w:r>
    </w:p>
    <w:p>
      <w:pPr>
        <w:spacing w:after="140"/>
      </w:pPr>
      <w:r>
        <w:rPr>
          <w:b/>
          <w:color w:val="1F4E78"/>
        </w:rPr>
        <w:t xml:space="preserve">Confidence: </w:t>
      </w:r>
      <w:r>
        <w:t>High on approval status; medium on the absence of all implementation activity.</w:t>
      </w:r>
    </w:p>
    <w:p>
      <w:pPr>
        <w:pStyle w:val="ItemLabel"/>
      </w:pPr>
      <w:r>
        <w:t>AI governance machinery and safeguards</w:t>
      </w:r>
    </w:p>
    <w:p>
      <w:pPr>
        <w:spacing w:after="60"/>
      </w:pPr>
      <w:r>
        <w:rPr>
          <w:b/>
          <w:color w:val="1F4E78"/>
        </w:rPr>
        <w:t xml:space="preserve">Status: </w:t>
      </w:r>
      <w:r>
        <w:t>Planned in policy; no post-cutoff rulebook or operational milestone verified.</w:t>
      </w:r>
    </w:p>
    <w:p>
      <w:pPr>
        <w:spacing w:after="60"/>
      </w:pPr>
      <w:r>
        <w:rPr>
          <w:b/>
          <w:color w:val="1F4E78"/>
        </w:rPr>
        <w:t xml:space="preserve">Institution / location: </w:t>
      </w:r>
      <w:r>
        <w:t>MoITT and future implementing bodies, federal and provincial.</w:t>
      </w:r>
    </w:p>
    <w:p>
      <w:pPr>
        <w:spacing w:after="60"/>
      </w:pPr>
      <w:r>
        <w:rPr>
          <w:b/>
          <w:color w:val="1F4E78"/>
        </w:rPr>
        <w:t xml:space="preserve">Evidence: </w:t>
      </w:r>
      <w:r>
        <w:t>The approved policy anticipates sandboxes, transparency, a public-sector AI register, impact assessment, audit and redress mechanisms. No named sandbox rules, register publication, audit protocol, incident-reporting standard or enforcement notice appeared in the official surfaces checked.</w:t>
      </w:r>
    </w:p>
    <w:p>
      <w:pPr>
        <w:spacing w:after="60"/>
      </w:pPr>
      <w:r>
        <w:rPr>
          <w:b/>
          <w:color w:val="1F4E78"/>
        </w:rPr>
        <w:t xml:space="preserve">What changed: </w:t>
      </w:r>
      <w:r>
        <w:t>No change after 19:24 PKT.</w:t>
      </w:r>
    </w:p>
    <w:p>
      <w:pPr>
        <w:spacing w:after="60"/>
      </w:pPr>
      <w:r>
        <w:rPr>
          <w:b/>
          <w:color w:val="1F4E78"/>
        </w:rPr>
        <w:t xml:space="preserve">Why it matters: </w:t>
      </w:r>
      <w:r>
        <w:t>Public bodies procuring AI should continue to contract explicitly for lawful purpose, human review, testing, bias/error management, security, logs, incident response, explainability, audit access, exit and redress rather than assuming the policy supplies those controls automatically.</w:t>
      </w:r>
    </w:p>
    <w:p>
      <w:pPr>
        <w:spacing w:after="140"/>
      </w:pPr>
      <w:r>
        <w:rPr>
          <w:b/>
          <w:color w:val="1F4E78"/>
        </w:rPr>
        <w:t xml:space="preserve">Confidence: </w:t>
      </w:r>
      <w:r>
        <w:t>Medium.</w:t>
      </w:r>
    </w:p>
    <w:p>
      <w:pPr>
        <w:pStyle w:val="Heading1"/>
      </w:pPr>
      <w:r>
        <w:t>3. Data regulation, digital policy, and cybersecurity</w:t>
      </w:r>
    </w:p>
    <w:p>
      <w:pPr>
        <w:pStyle w:val="ItemLabel"/>
      </w:pPr>
      <w:r>
        <w:t>National Data Governance Policy 2026 remains draft/finalisation-stage</w:t>
      </w:r>
    </w:p>
    <w:p>
      <w:pPr>
        <w:spacing w:after="60"/>
      </w:pPr>
      <w:r>
        <w:rPr>
          <w:b/>
          <w:color w:val="1F4E78"/>
        </w:rPr>
        <w:t xml:space="preserve">Status: </w:t>
      </w:r>
      <w:r>
        <w:t>Draft; consultations concluded, but finalisation and notification remain unverified.</w:t>
      </w:r>
    </w:p>
    <w:p>
      <w:pPr>
        <w:spacing w:after="60"/>
      </w:pPr>
      <w:r>
        <w:rPr>
          <w:b/>
          <w:color w:val="1F4E78"/>
        </w:rPr>
        <w:t xml:space="preserve">Institution / location: </w:t>
      </w:r>
      <w:r>
        <w:t>MoITT and Pakistan Digital Authority (PDA), Islamabad.</w:t>
      </w:r>
    </w:p>
    <w:p>
      <w:pPr>
        <w:spacing w:after="60"/>
      </w:pPr>
      <w:r>
        <w:rPr>
          <w:b/>
          <w:color w:val="1F4E78"/>
        </w:rPr>
        <w:t xml:space="preserve">Evidence: </w:t>
      </w:r>
      <w:r>
        <w:t>MoITT’s register labels the policy Draft, dated 26 June 2026. PDA’s 5 August release says consultation concluded and that feedback will be incorporated before finalisation, with phased implementation to follow.</w:t>
      </w:r>
      <w:r>
        <w:t xml:space="preserve"> </w:t>
      </w:r>
      <w:hyperlink r:id="rId12">
        <w:r>
          <w:rPr>
            <w:rFonts w:ascii="Calibri" w:hAnsi="Calibri"/>
            <w:color w:val="1F4E78"/>
            <w:u w:val="single"/>
          </w:rPr>
          <w:t>Source</w:t>
        </w:r>
      </w:hyperlink>
    </w:p>
    <w:p>
      <w:pPr>
        <w:spacing w:after="60"/>
      </w:pPr>
      <w:r>
        <w:rPr>
          <w:b/>
          <w:color w:val="1F4E78"/>
        </w:rPr>
        <w:t xml:space="preserve">What changed: </w:t>
      </w:r>
      <w:r>
        <w:t>No status change after 19:24 PKT.</w:t>
      </w:r>
    </w:p>
    <w:p>
      <w:pPr>
        <w:spacing w:after="60"/>
      </w:pPr>
      <w:r>
        <w:rPr>
          <w:b/>
          <w:color w:val="1F4E78"/>
        </w:rPr>
        <w:t xml:space="preserve">Why it matters: </w:t>
      </w:r>
      <w:r>
        <w:t>The policy is not yet evidence of binding government-wide sharing, classification, stewardship or hosting duties. Public bodies and vendors should still obtain project-level authority and document access, sharing, transfer, retention, deletion and accountability controls.</w:t>
      </w:r>
    </w:p>
    <w:p>
      <w:pPr>
        <w:spacing w:after="140"/>
      </w:pPr>
      <w:r>
        <w:rPr>
          <w:b/>
          <w:color w:val="1F4E78"/>
        </w:rPr>
        <w:t xml:space="preserve">Confidence: </w:t>
      </w:r>
      <w:r>
        <w:t>High.</w:t>
      </w:r>
    </w:p>
    <w:p>
      <w:pPr>
        <w:pStyle w:val="ItemLabel"/>
      </w:pPr>
      <w:r>
        <w:t>Personal Data Protection Bill</w:t>
      </w:r>
    </w:p>
    <w:p>
      <w:pPr>
        <w:spacing w:after="60"/>
      </w:pPr>
      <w:r>
        <w:rPr>
          <w:b/>
          <w:color w:val="1F4E78"/>
        </w:rPr>
        <w:t xml:space="preserve">Status: </w:t>
      </w:r>
      <w:r>
        <w:t>Draft; no successor enacted law verified.</w:t>
      </w:r>
    </w:p>
    <w:p>
      <w:pPr>
        <w:spacing w:after="60"/>
      </w:pPr>
      <w:r>
        <w:rPr>
          <w:b/>
          <w:color w:val="1F4E78"/>
        </w:rPr>
        <w:t xml:space="preserve">Institution / location: </w:t>
      </w:r>
      <w:r>
        <w:t>MoITT / federal legislature.</w:t>
      </w:r>
    </w:p>
    <w:p>
      <w:pPr>
        <w:spacing w:after="60"/>
      </w:pPr>
      <w:r>
        <w:rPr>
          <w:b/>
          <w:color w:val="1F4E78"/>
        </w:rPr>
        <w:t xml:space="preserve">Evidence: </w:t>
      </w:r>
      <w:r>
        <w:t>MoITT’s legislation register continues to list the Personal Data Protection Bill May 2023 as Draft. No post-cutoff enacted horizontal privacy instrument or authoritative successor text surfaced.</w:t>
      </w:r>
      <w:r>
        <w:t xml:space="preserve"> </w:t>
      </w:r>
      <w:hyperlink r:id="rId13">
        <w:r>
          <w:rPr>
            <w:rFonts w:ascii="Calibri" w:hAnsi="Calibri"/>
            <w:color w:val="1F4E78"/>
            <w:u w:val="single"/>
          </w:rPr>
          <w:t>Source</w:t>
        </w:r>
      </w:hyperlink>
    </w:p>
    <w:p>
      <w:pPr>
        <w:spacing w:after="60"/>
      </w:pPr>
      <w:r>
        <w:rPr>
          <w:b/>
          <w:color w:val="1F4E78"/>
        </w:rPr>
        <w:t xml:space="preserve">What changed: </w:t>
      </w:r>
      <w:r>
        <w:t>No change after 19:24 PKT.</w:t>
      </w:r>
    </w:p>
    <w:p>
      <w:pPr>
        <w:spacing w:after="60"/>
      </w:pPr>
      <w:r>
        <w:rPr>
          <w:b/>
          <w:color w:val="1F4E78"/>
        </w:rPr>
        <w:t xml:space="preserve">Why it matters: </w:t>
      </w:r>
      <w:r>
        <w:t>Companies, investors and public bodies still face a fragmented compliance environment. Contracts and system design should specify controller/processor roles, lawful authority or consent, children’s data treatment, cross-border transfers, retention, breach handling, government access, audit and complaints rather than waiting for a comprehensive statute.</w:t>
      </w:r>
    </w:p>
    <w:p>
      <w:pPr>
        <w:spacing w:after="140"/>
      </w:pPr>
      <w:r>
        <w:rPr>
          <w:b/>
          <w:color w:val="1F4E78"/>
        </w:rPr>
        <w:t xml:space="preserve">Confidence: </w:t>
      </w:r>
      <w:r>
        <w:t>High on register state; medium on absence of a successor because legislative publication can lag.</w:t>
      </w:r>
    </w:p>
    <w:p>
      <w:pPr>
        <w:pStyle w:val="ItemLabel"/>
      </w:pPr>
      <w:r>
        <w:t>WASL and Digital Nation Pakistan standards</w:t>
      </w:r>
    </w:p>
    <w:p>
      <w:pPr>
        <w:spacing w:after="60"/>
      </w:pPr>
      <w:r>
        <w:rPr>
          <w:b/>
          <w:color w:val="1F4E78"/>
        </w:rPr>
        <w:t xml:space="preserve">Status: </w:t>
      </w:r>
      <w:r>
        <w:t>Four Pilot publications: two PUB and two WD; no final/binding maturity change.</w:t>
      </w:r>
    </w:p>
    <w:p>
      <w:pPr>
        <w:spacing w:after="60"/>
      </w:pPr>
      <w:r>
        <w:rPr>
          <w:b/>
          <w:color w:val="1F4E78"/>
        </w:rPr>
        <w:t xml:space="preserve">Institution / location: </w:t>
      </w:r>
      <w:r>
        <w:t>Pakistan Digital Authority.</w:t>
      </w:r>
    </w:p>
    <w:p>
      <w:pPr>
        <w:spacing w:after="60"/>
      </w:pPr>
      <w:r>
        <w:rPr>
          <w:b/>
          <w:color w:val="1F4E78"/>
        </w:rPr>
        <w:t xml:space="preserve">Evidence: </w:t>
      </w:r>
      <w:r>
        <w:t>The live register still lists DNP-X.001 and DNP-D.002 as Pilot/PUB dated 13 May 2026, and the consent guideline DNP-D.250 and technical specification DNP-D.300 as Pilot/WD dated 26 April 2026.</w:t>
      </w:r>
      <w:r>
        <w:t xml:space="preserve"> </w:t>
      </w:r>
      <w:hyperlink r:id="rId14">
        <w:r>
          <w:rPr>
            <w:rFonts w:ascii="Calibri" w:hAnsi="Calibri"/>
            <w:color w:val="1F4E78"/>
            <w:u w:val="single"/>
          </w:rPr>
          <w:t>Source</w:t>
        </w:r>
      </w:hyperlink>
    </w:p>
    <w:p>
      <w:pPr>
        <w:spacing w:after="60"/>
      </w:pPr>
      <w:r>
        <w:rPr>
          <w:b/>
          <w:color w:val="1F4E78"/>
        </w:rPr>
        <w:t xml:space="preserve">What changed: </w:t>
      </w:r>
      <w:r>
        <w:t>No change after 19:24 PKT.</w:t>
      </w:r>
    </w:p>
    <w:p>
      <w:pPr>
        <w:spacing w:after="60"/>
      </w:pPr>
      <w:r>
        <w:rPr>
          <w:b/>
          <w:color w:val="1F4E78"/>
        </w:rPr>
        <w:t xml:space="preserve">Why it matters: </w:t>
      </w:r>
      <w:r>
        <w:t>Interoperability and consent designs should not be described as final national obligations. Deployments need explicit role allocation, data classification, purpose limitation, authorization, logging, audit, incident handling and revocation behavior.</w:t>
      </w:r>
    </w:p>
    <w:p>
      <w:pPr>
        <w:spacing w:after="140"/>
      </w:pPr>
      <w:r>
        <w:rPr>
          <w:b/>
          <w:color w:val="1F4E78"/>
        </w:rPr>
        <w:t xml:space="preserve">Confidence: </w:t>
      </w:r>
      <w:r>
        <w:t>High.</w:t>
      </w:r>
    </w:p>
    <w:p>
      <w:pPr>
        <w:pStyle w:val="ItemLabel"/>
      </w:pPr>
      <w:r>
        <w:t>Cybersecurity advisories and telecom legislation</w:t>
      </w:r>
    </w:p>
    <w:p>
      <w:pPr>
        <w:spacing w:after="60"/>
      </w:pPr>
      <w:r>
        <w:rPr>
          <w:b/>
          <w:color w:val="1F4E78"/>
        </w:rPr>
        <w:t xml:space="preserve">Status: </w:t>
      </w:r>
      <w:r>
        <w:t>PKCERT remains topped by Advisory 17; the 2026 telecom amendment bill remains withdrawn; no successor text verified.</w:t>
      </w:r>
    </w:p>
    <w:p>
      <w:pPr>
        <w:spacing w:after="60"/>
      </w:pPr>
      <w:r>
        <w:rPr>
          <w:b/>
          <w:color w:val="1F4E78"/>
        </w:rPr>
        <w:t xml:space="preserve">Institution / location: </w:t>
      </w:r>
      <w:r>
        <w:t>PKCERT, Senate and National Assembly.</w:t>
      </w:r>
    </w:p>
    <w:p>
      <w:pPr>
        <w:spacing w:after="60"/>
      </w:pPr>
      <w:r>
        <w:rPr>
          <w:b/>
          <w:color w:val="1F4E78"/>
        </w:rPr>
        <w:t xml:space="preserve">Evidence: </w:t>
      </w:r>
      <w:r>
        <w:t>PKCERT’s live advisory list has no Advisory 18. The Senate government-bills register marks the Pakistan Telecommunication (Re-Organization) (Amendment) Bill 2026 as withdrawn in the House on 28 August 2026. No authenticated replacement appeared in the checked parliamentary register.</w:t>
      </w:r>
      <w:r>
        <w:t xml:space="preserve"> </w:t>
      </w:r>
      <w:hyperlink r:id="rId15">
        <w:r>
          <w:rPr>
            <w:rFonts w:ascii="Calibri" w:hAnsi="Calibri"/>
            <w:color w:val="1F4E78"/>
            <w:u w:val="single"/>
          </w:rPr>
          <w:t>Source</w:t>
        </w:r>
      </w:hyperlink>
    </w:p>
    <w:p>
      <w:pPr>
        <w:spacing w:after="60"/>
      </w:pPr>
      <w:r>
        <w:rPr>
          <w:b/>
          <w:color w:val="1F4E78"/>
        </w:rPr>
        <w:t xml:space="preserve">What changed: </w:t>
      </w:r>
      <w:r>
        <w:t>No change after 19:24 PKT.</w:t>
      </w:r>
    </w:p>
    <w:p>
      <w:pPr>
        <w:spacing w:after="60"/>
      </w:pPr>
      <w:r>
        <w:rPr>
          <w:b/>
          <w:color w:val="1F4E78"/>
        </w:rPr>
        <w:t xml:space="preserve">Why it matters: </w:t>
      </w:r>
      <w:r>
        <w:t>Operators should not infer new legal powers or duties from political statements about a replacement bill. Critical systems still need operational controls for patching, identity, network segmentation, backup, failover, incident reporting and recovery independent of legislative timing.</w:t>
      </w:r>
    </w:p>
    <w:p>
      <w:pPr>
        <w:spacing w:after="140"/>
      </w:pPr>
      <w:r>
        <w:rPr>
          <w:b/>
          <w:color w:val="1F4E78"/>
        </w:rPr>
        <w:t xml:space="preserve">Confidence: </w:t>
      </w:r>
      <w:r>
        <w:t>High on named register states; medium on broad absence because PTA timed out and parliamentary publication can lag.</w:t>
      </w:r>
    </w:p>
    <w:p>
      <w:pPr>
        <w:pStyle w:val="Heading1"/>
      </w:pPr>
      <w:r>
        <w:t>4. AI and digital infrastructure</w:t>
      </w:r>
    </w:p>
    <w:p>
      <w:pPr>
        <w:pStyle w:val="ItemLabel"/>
      </w:pPr>
      <w:r>
        <w:t>Federal procurement registers</w:t>
      </w:r>
    </w:p>
    <w:p>
      <w:pPr>
        <w:spacing w:after="60"/>
      </w:pPr>
      <w:r>
        <w:rPr>
          <w:b/>
          <w:color w:val="1F4E78"/>
        </w:rPr>
        <w:t xml:space="preserve">Status: </w:t>
      </w:r>
      <w:r>
        <w:t>Live registers unchanged at 1,815 tenders, 2,854 evaluations and 543 contracts.</w:t>
      </w:r>
    </w:p>
    <w:p>
      <w:pPr>
        <w:spacing w:after="60"/>
      </w:pPr>
      <w:r>
        <w:rPr>
          <w:b/>
          <w:color w:val="1F4E78"/>
        </w:rPr>
        <w:t xml:space="preserve">Institution / location: </w:t>
      </w:r>
      <w:r>
        <w:t>Public Procurement Regulatory Authority (PPRA), federal.</w:t>
      </w:r>
    </w:p>
    <w:p>
      <w:pPr>
        <w:spacing w:after="60"/>
      </w:pPr>
      <w:r>
        <w:rPr>
          <w:b/>
          <w:color w:val="1F4E78"/>
        </w:rPr>
        <w:t xml:space="preserve">Evidence: </w:t>
      </w:r>
      <w:r>
        <w:t>Direct checks of the three live registers produced the same totals as the previous briefing. Latest visible leaders were either already present or outside the AI/digital-infrastructure scope.</w:t>
      </w:r>
      <w:r>
        <w:t xml:space="preserve"> </w:t>
      </w:r>
      <w:hyperlink r:id="rId16">
        <w:r>
          <w:rPr>
            <w:rFonts w:ascii="Calibri" w:hAnsi="Calibri"/>
            <w:color w:val="1F4E78"/>
            <w:u w:val="single"/>
          </w:rPr>
          <w:t>Source</w:t>
        </w:r>
      </w:hyperlink>
    </w:p>
    <w:p>
      <w:pPr>
        <w:spacing w:after="60"/>
      </w:pPr>
      <w:r>
        <w:rPr>
          <w:b/>
          <w:color w:val="1F4E78"/>
        </w:rPr>
        <w:t xml:space="preserve">What changed: </w:t>
      </w:r>
      <w:r>
        <w:t>Delta 0 tenders / 0 evaluations / 0 contracts after 19:24 PKT.</w:t>
      </w:r>
    </w:p>
    <w:p>
      <w:pPr>
        <w:spacing w:after="60"/>
      </w:pPr>
      <w:r>
        <w:rPr>
          <w:b/>
          <w:color w:val="1F4E78"/>
        </w:rPr>
        <w:t xml:space="preserve">Why it matters: </w:t>
      </w:r>
      <w:r>
        <w:t>A tender is not delivery, an evaluation is not an award, and a contract is not acceptance. Decision-makers should track the underlying procurement state and acceptance evidence rather than headline dates.</w:t>
      </w:r>
    </w:p>
    <w:p>
      <w:pPr>
        <w:spacing w:after="140"/>
      </w:pPr>
      <w:r>
        <w:rPr>
          <w:b/>
          <w:color w:val="1F4E78"/>
        </w:rPr>
        <w:t xml:space="preserve">Confidence: </w:t>
      </w:r>
      <w:r>
        <w:t>High on totals; medium on strict posting time because some records are date-only.</w:t>
      </w:r>
    </w:p>
    <w:p>
      <w:pPr>
        <w:pStyle w:val="ItemLabel"/>
      </w:pPr>
      <w:r>
        <w:t>National AI Hubs</w:t>
      </w:r>
    </w:p>
    <w:p>
      <w:pPr>
        <w:spacing w:after="60"/>
      </w:pPr>
      <w:r>
        <w:rPr>
          <w:b/>
          <w:color w:val="1F4E78"/>
        </w:rPr>
        <w:t xml:space="preserve">Status: </w:t>
      </w:r>
      <w:r>
        <w:t>Tender-stage; no new evaluation, award, contract or accepted output.</w:t>
      </w:r>
    </w:p>
    <w:p>
      <w:pPr>
        <w:spacing w:after="60"/>
      </w:pPr>
      <w:r>
        <w:rPr>
          <w:b/>
          <w:color w:val="1F4E78"/>
        </w:rPr>
        <w:t xml:space="preserve">Institution / location: </w:t>
      </w:r>
      <w:r>
        <w:t>Federal EPADS procurement P71677; intended national programme.</w:t>
      </w:r>
    </w:p>
    <w:p>
      <w:pPr>
        <w:spacing w:after="60"/>
      </w:pPr>
      <w:r>
        <w:rPr>
          <w:b/>
          <w:color w:val="1F4E78"/>
        </w:rPr>
        <w:t xml:space="preserve">Evidence: </w:t>
      </w:r>
      <w:r>
        <w:t>The official procurement record remained open and showed no post-cutoff evaluation or award. The closing date remains 31 August 2026 in the existing baseline.</w:t>
      </w:r>
      <w:r>
        <w:t xml:space="preserve"> </w:t>
      </w:r>
      <w:hyperlink r:id="rId17">
        <w:r>
          <w:rPr>
            <w:rFonts w:ascii="Calibri" w:hAnsi="Calibri"/>
            <w:color w:val="1F4E78"/>
            <w:u w:val="single"/>
          </w:rPr>
          <w:t>Source</w:t>
        </w:r>
      </w:hyperlink>
    </w:p>
    <w:p>
      <w:pPr>
        <w:spacing w:after="60"/>
      </w:pPr>
      <w:r>
        <w:rPr>
          <w:b/>
          <w:color w:val="1F4E78"/>
        </w:rPr>
        <w:t xml:space="preserve">What changed: </w:t>
      </w:r>
      <w:r>
        <w:t>No change after 19:24 PKT.</w:t>
      </w:r>
    </w:p>
    <w:p>
      <w:pPr>
        <w:spacing w:after="60"/>
      </w:pPr>
      <w:r>
        <w:rPr>
          <w:b/>
          <w:color w:val="1F4E78"/>
        </w:rPr>
        <w:t xml:space="preserve">Why it matters: </w:t>
      </w:r>
      <w:r>
        <w:t>The programme should not yet be counted as operational hub capacity. Watch for bidder evaluation, contract scope, sites, funding, equipment, access rules, milestones and acceptance criteria.</w:t>
      </w:r>
    </w:p>
    <w:p>
      <w:pPr>
        <w:spacing w:after="140"/>
      </w:pPr>
      <w:r>
        <w:rPr>
          <w:b/>
          <w:color w:val="1F4E78"/>
        </w:rPr>
        <w:t xml:space="preserve">Confidence: </w:t>
      </w:r>
      <w:r>
        <w:t>High on procurement state; medium on broad implementation absence.</w:t>
      </w:r>
    </w:p>
    <w:p>
      <w:pPr>
        <w:pStyle w:val="ItemLabel"/>
      </w:pPr>
      <w:r>
        <w:t>State Life Karachi data-centre core switches</w:t>
      </w:r>
    </w:p>
    <w:p>
      <w:pPr>
        <w:spacing w:after="60"/>
      </w:pPr>
      <w:r>
        <w:rPr>
          <w:b/>
          <w:color w:val="1F4E78"/>
        </w:rPr>
        <w:t xml:space="preserve">Status: </w:t>
      </w:r>
      <w:r>
        <w:t>Tender-stage; closes 23 September 2026; no award or commissioning evidence.</w:t>
      </w:r>
    </w:p>
    <w:p>
      <w:pPr>
        <w:spacing w:after="60"/>
      </w:pPr>
      <w:r>
        <w:rPr>
          <w:b/>
          <w:color w:val="1F4E78"/>
        </w:rPr>
        <w:t xml:space="preserve">Institution / location: </w:t>
      </w:r>
      <w:r>
        <w:t>State Life Insurance Corporation of Pakistan, Karachi.</w:t>
      </w:r>
    </w:p>
    <w:p>
      <w:pPr>
        <w:spacing w:after="60"/>
      </w:pPr>
      <w:r>
        <w:rPr>
          <w:b/>
          <w:color w:val="1F4E78"/>
        </w:rPr>
        <w:t xml:space="preserve">Evidence: </w:t>
      </w:r>
      <w:r>
        <w:t>PPRA/EPADS records retained the procurement as a published tender. No post-cutoff evaluation, contract, delivery, installation, failover test or acceptance record surfaced.</w:t>
      </w:r>
    </w:p>
    <w:p>
      <w:pPr>
        <w:spacing w:after="60"/>
      </w:pPr>
      <w:r>
        <w:rPr>
          <w:b/>
          <w:color w:val="1F4E78"/>
        </w:rPr>
        <w:t xml:space="preserve">What changed: </w:t>
      </w:r>
      <w:r>
        <w:t>No change after 19:24 PKT.</w:t>
      </w:r>
    </w:p>
    <w:p>
      <w:pPr>
        <w:spacing w:after="60"/>
      </w:pPr>
      <w:r>
        <w:rPr>
          <w:b/>
          <w:color w:val="1F4E78"/>
        </w:rPr>
        <w:t xml:space="preserve">Why it matters: </w:t>
      </w:r>
      <w:r>
        <w:t>Core switching can improve data-centre resilience and throughput only after delivery, configuration, redundancy testing and acceptance. Procurement publication alone does not establish production capacity.</w:t>
      </w:r>
    </w:p>
    <w:p>
      <w:pPr>
        <w:spacing w:after="140"/>
      </w:pPr>
      <w:r>
        <w:rPr>
          <w:b/>
          <w:color w:val="1F4E78"/>
        </w:rPr>
        <w:t xml:space="preserve">Confidence: </w:t>
      </w:r>
      <w:r>
        <w:t>High on tender status; medium on operational absence.</w:t>
      </w:r>
    </w:p>
    <w:p>
      <w:pPr>
        <w:pStyle w:val="ItemLabel"/>
      </w:pPr>
      <w:r>
        <w:t>FAB spectrum monitoring system</w:t>
      </w:r>
    </w:p>
    <w:p>
      <w:pPr>
        <w:spacing w:after="60"/>
      </w:pPr>
      <w:r>
        <w:rPr>
          <w:b/>
          <w:color w:val="1F4E78"/>
        </w:rPr>
        <w:t xml:space="preserve">Status: </w:t>
      </w:r>
      <w:r>
        <w:t>Contracted for PKR 196,308,167; commissioning and acceptance not verified.</w:t>
      </w:r>
    </w:p>
    <w:p>
      <w:pPr>
        <w:spacing w:after="60"/>
      </w:pPr>
      <w:r>
        <w:rPr>
          <w:b/>
          <w:color w:val="1F4E78"/>
        </w:rPr>
        <w:t xml:space="preserve">Institution / location: </w:t>
      </w:r>
      <w:r>
        <w:t>Frequency Allocation Board, Islamabad; supplier Rohde &amp; Schwarz (Pvt) Ltd.</w:t>
      </w:r>
    </w:p>
    <w:p>
      <w:pPr>
        <w:spacing w:after="60"/>
      </w:pPr>
      <w:r>
        <w:rPr>
          <w:b/>
          <w:color w:val="1F4E78"/>
        </w:rPr>
        <w:t xml:space="preserve">Evidence: </w:t>
      </w:r>
      <w:r>
        <w:t>PPRA contract PCN-3884318406 remains listed with an advertise date of 25 August 2026 and the stated contract value. The listing says supply and commissioning, but no separate delivery or acceptance evidence was found.</w:t>
      </w:r>
      <w:r>
        <w:t xml:space="preserve"> </w:t>
      </w:r>
      <w:hyperlink r:id="rId18">
        <w:r>
          <w:rPr>
            <w:rFonts w:ascii="Calibri" w:hAnsi="Calibri"/>
            <w:color w:val="1F4E78"/>
            <w:u w:val="single"/>
          </w:rPr>
          <w:t>Source</w:t>
        </w:r>
      </w:hyperlink>
    </w:p>
    <w:p>
      <w:pPr>
        <w:spacing w:after="60"/>
      </w:pPr>
      <w:r>
        <w:rPr>
          <w:b/>
          <w:color w:val="1F4E78"/>
        </w:rPr>
        <w:t xml:space="preserve">What changed: </w:t>
      </w:r>
      <w:r>
        <w:t>No change after 19:24 PKT.</w:t>
      </w:r>
    </w:p>
    <w:p>
      <w:pPr>
        <w:spacing w:after="60"/>
      </w:pPr>
      <w:r>
        <w:rPr>
          <w:b/>
          <w:color w:val="1F4E78"/>
        </w:rPr>
        <w:t xml:space="preserve">Why it matters: </w:t>
      </w:r>
      <w:r>
        <w:t>The contract can strengthen spectrum visibility and interference management, which matters for reliable connectivity, but it should not be represented as operational until commissioning and acceptance are documented.</w:t>
      </w:r>
    </w:p>
    <w:p>
      <w:pPr>
        <w:spacing w:after="140"/>
      </w:pPr>
      <w:r>
        <w:rPr>
          <w:b/>
          <w:color w:val="1F4E78"/>
        </w:rPr>
        <w:t xml:space="preserve">Confidence: </w:t>
      </w:r>
      <w:r>
        <w:t>High on contract/value; medium on non-commissioning conclusion.</w:t>
      </w:r>
    </w:p>
    <w:p>
      <w:pPr>
        <w:pStyle w:val="ItemLabel"/>
      </w:pPr>
      <w:r>
        <w:t>Compute, cloud, data centres and energy dependencies</w:t>
      </w:r>
    </w:p>
    <w:p>
      <w:pPr>
        <w:spacing w:after="60"/>
      </w:pPr>
      <w:r>
        <w:rPr>
          <w:b/>
          <w:color w:val="1F4E78"/>
        </w:rPr>
        <w:t xml:space="preserve">Status: </w:t>
      </w:r>
      <w:r>
        <w:t>No new commissioned capacity or site-specific energy milestone verified.</w:t>
      </w:r>
    </w:p>
    <w:p>
      <w:pPr>
        <w:spacing w:after="60"/>
      </w:pPr>
      <w:r>
        <w:rPr>
          <w:b/>
          <w:color w:val="1F4E78"/>
        </w:rPr>
        <w:t xml:space="preserve">Institution / location: </w:t>
      </w:r>
      <w:r>
        <w:t>Federal and provincial programmes; operators and utilities nationwide.</w:t>
      </w:r>
    </w:p>
    <w:p>
      <w:pPr>
        <w:spacing w:after="60"/>
      </w:pPr>
      <w:r>
        <w:rPr>
          <w:b/>
          <w:color w:val="1F4E78"/>
        </w:rPr>
        <w:t xml:space="preserve">Evidence: </w:t>
      </w:r>
      <w:r>
        <w:t>No post-cutoff accelerator inventory, allocatable compute, Cloud region, owned hyperscale data centre, carrier activation, accepted workload, grid connection, dual feed, tariff, power-purchase agreement, cooling/water metric, backup runtime or resilience test surfaced.</w:t>
      </w:r>
    </w:p>
    <w:p>
      <w:pPr>
        <w:spacing w:after="60"/>
      </w:pPr>
      <w:r>
        <w:rPr>
          <w:b/>
          <w:color w:val="1F4E78"/>
        </w:rPr>
        <w:t xml:space="preserve">What changed: </w:t>
      </w:r>
      <w:r>
        <w:t>No change after 19:24 PKT.</w:t>
      </w:r>
    </w:p>
    <w:p>
      <w:pPr>
        <w:spacing w:after="60"/>
      </w:pPr>
      <w:r>
        <w:rPr>
          <w:b/>
          <w:color w:val="1F4E78"/>
        </w:rPr>
        <w:t xml:space="preserve">Why it matters: </w:t>
      </w:r>
      <w:r>
        <w:t>AI infrastructure claims remain hard to underwrite without site, MW/IT load, rack/GPU inventory, network paths, power quality, cooling method, utilization, uptime, security certifications and accepted workloads. Energy reliability and cooling remain delivery dependencies, not side issues.</w:t>
      </w:r>
    </w:p>
    <w:p>
      <w:pPr>
        <w:spacing w:after="140"/>
      </w:pPr>
      <w:r>
        <w:rPr>
          <w:b/>
          <w:color w:val="1F4E78"/>
        </w:rPr>
        <w:t xml:space="preserve">Confidence: </w:t>
      </w:r>
      <w:r>
        <w:t>Medium.</w:t>
      </w:r>
    </w:p>
    <w:p>
      <w:pPr>
        <w:pStyle w:val="Heading1"/>
      </w:pPr>
      <w:r>
        <w:t>5. Programs, funding, and investment</w:t>
      </w:r>
    </w:p>
    <w:p>
      <w:pPr>
        <w:pStyle w:val="ItemLabel"/>
      </w:pPr>
      <w:r>
        <w:t>Emerging Technologies Data Centre and NAIEDP baseline</w:t>
      </w:r>
    </w:p>
    <w:p>
      <w:pPr>
        <w:spacing w:after="60"/>
      </w:pPr>
      <w:r>
        <w:rPr>
          <w:b/>
          <w:color w:val="1F4E78"/>
        </w:rPr>
        <w:t xml:space="preserve">Status: </w:t>
      </w:r>
      <w:r>
        <w:t>In-principle/planning-stage baseline; no post-cutoff ECNEC decision, release or deployment verified.</w:t>
      </w:r>
    </w:p>
    <w:p>
      <w:pPr>
        <w:spacing w:after="60"/>
      </w:pPr>
      <w:r>
        <w:rPr>
          <w:b/>
          <w:color w:val="1F4E78"/>
        </w:rPr>
        <w:t xml:space="preserve">Institution / location: </w:t>
      </w:r>
      <w:r>
        <w:t>Planning Commission / CDWP and MoITT, federal.</w:t>
      </w:r>
    </w:p>
    <w:p>
      <w:pPr>
        <w:spacing w:after="60"/>
      </w:pPr>
      <w:r>
        <w:rPr>
          <w:b/>
          <w:color w:val="1F4E78"/>
        </w:rPr>
        <w:t xml:space="preserve">Evidence: </w:t>
      </w:r>
      <w:r>
        <w:t>A 25 June 2026 PID release described a national Emerging Technologies Data Centre and recorded in-principle approval/recommendation for the Rs 13,000 million NAIEDP proposal. No post-cutoff financing release, contract, site readiness or accepted capacity surfaced.</w:t>
      </w:r>
      <w:r>
        <w:t xml:space="preserve"> </w:t>
      </w:r>
      <w:hyperlink r:id="rId19">
        <w:r>
          <w:rPr>
            <w:rFonts w:ascii="Calibri" w:hAnsi="Calibri"/>
            <w:color w:val="1F4E78"/>
            <w:u w:val="single"/>
          </w:rPr>
          <w:t>Source</w:t>
        </w:r>
      </w:hyperlink>
    </w:p>
    <w:p>
      <w:pPr>
        <w:spacing w:after="60"/>
      </w:pPr>
      <w:r>
        <w:rPr>
          <w:b/>
          <w:color w:val="1F4E78"/>
        </w:rPr>
        <w:t xml:space="preserve">What changed: </w:t>
      </w:r>
      <w:r>
        <w:t>No change after 19:24 PKT.</w:t>
      </w:r>
    </w:p>
    <w:p>
      <w:pPr>
        <w:spacing w:after="60"/>
      </w:pPr>
      <w:r>
        <w:rPr>
          <w:b/>
          <w:color w:val="1F4E78"/>
        </w:rPr>
        <w:t xml:space="preserve">Why it matters: </w:t>
      </w:r>
      <w:r>
        <w:t>In-principle approval and feasibility work are not the same as an appropriated, contracted and operational compute facility. Track ECNEC disposition, PC-I scope, releases, procurement, site power/cooling and acceptance.</w:t>
      </w:r>
    </w:p>
    <w:p>
      <w:pPr>
        <w:spacing w:after="140"/>
      </w:pPr>
      <w:r>
        <w:rPr>
          <w:b/>
          <w:color w:val="1F4E78"/>
        </w:rPr>
        <w:t xml:space="preserve">Confidence: </w:t>
      </w:r>
      <w:r>
        <w:t>High on the cited approval record; medium on subsequent absence.</w:t>
      </w:r>
    </w:p>
    <w:p>
      <w:pPr>
        <w:pStyle w:val="ItemLabel"/>
      </w:pPr>
      <w:r>
        <w:t>PSEB-NED semiconductor cluster</w:t>
      </w:r>
    </w:p>
    <w:p>
      <w:pPr>
        <w:spacing w:after="60"/>
      </w:pPr>
      <w:r>
        <w:rPr>
          <w:b/>
          <w:color w:val="1F4E78"/>
        </w:rPr>
        <w:t xml:space="preserve">Status: </w:t>
      </w:r>
      <w:r>
        <w:t>Signed-instrument report before the cutoff; value, financing and delivered outcomes unresolved.</w:t>
      </w:r>
    </w:p>
    <w:p>
      <w:pPr>
        <w:spacing w:after="60"/>
      </w:pPr>
      <w:r>
        <w:rPr>
          <w:b/>
          <w:color w:val="1F4E78"/>
        </w:rPr>
        <w:t xml:space="preserve">Institution / location: </w:t>
      </w:r>
      <w:r>
        <w:t>Pakistan Software Export Board and NED University, Karachi.</w:t>
      </w:r>
    </w:p>
    <w:p>
      <w:pPr>
        <w:spacing w:after="60"/>
      </w:pPr>
      <w:r>
        <w:rPr>
          <w:b/>
          <w:color w:val="1F4E78"/>
        </w:rPr>
        <w:t xml:space="preserve">Evidence: </w:t>
      </w:r>
      <w:r>
        <w:t>A same-day PID release before the strict cutoff described a contract for a Semiconductor Engineering and Research Cluster. No later signed text, funding release, lab specification, delivery calendar or accepted output appeared.</w:t>
      </w:r>
      <w:r>
        <w:t xml:space="preserve"> </w:t>
      </w:r>
      <w:hyperlink r:id="rId20">
        <w:r>
          <w:rPr>
            <w:rFonts w:ascii="Calibri" w:hAnsi="Calibri"/>
            <w:color w:val="1F4E78"/>
            <w:u w:val="single"/>
          </w:rPr>
          <w:t>Source</w:t>
        </w:r>
      </w:hyperlink>
    </w:p>
    <w:p>
      <w:pPr>
        <w:spacing w:after="60"/>
      </w:pPr>
      <w:r>
        <w:rPr>
          <w:b/>
          <w:color w:val="1F4E78"/>
        </w:rPr>
        <w:t xml:space="preserve">What changed: </w:t>
      </w:r>
      <w:r>
        <w:t>No post-cutoff change; retained as baseline only.</w:t>
      </w:r>
    </w:p>
    <w:p>
      <w:pPr>
        <w:spacing w:after="60"/>
      </w:pPr>
      <w:r>
        <w:rPr>
          <w:b/>
          <w:color w:val="1F4E78"/>
        </w:rPr>
        <w:t xml:space="preserve">Why it matters: </w:t>
      </w:r>
      <w:r>
        <w:t>The initiative may strengthen hardware design talent, but claims about capacity, commercialization or investment should wait for the instrument, budget, equipment, seats, curriculum, milestones and outcomes.</w:t>
      </w:r>
    </w:p>
    <w:p>
      <w:pPr>
        <w:spacing w:after="140"/>
      </w:pPr>
      <w:r>
        <w:rPr>
          <w:b/>
          <w:color w:val="1F4E78"/>
        </w:rPr>
        <w:t xml:space="preserve">Confidence: </w:t>
      </w:r>
      <w:r>
        <w:t>Medium.</w:t>
      </w:r>
    </w:p>
    <w:p>
      <w:pPr>
        <w:pStyle w:val="ItemLabel"/>
      </w:pPr>
      <w:r>
        <w:t>Resecurity-Sky47 sovereign cybersecurity and AI infrastructure announcement</w:t>
      </w:r>
    </w:p>
    <w:p>
      <w:pPr>
        <w:spacing w:after="60"/>
      </w:pPr>
      <w:r>
        <w:rPr>
          <w:b/>
          <w:color w:val="1F4E78"/>
        </w:rPr>
        <w:t xml:space="preserve">Status: </w:t>
      </w:r>
      <w:r>
        <w:t>Exploratory partnership announcement; no quantified deployment.</w:t>
      </w:r>
    </w:p>
    <w:p>
      <w:pPr>
        <w:spacing w:after="60"/>
      </w:pPr>
      <w:r>
        <w:rPr>
          <w:b/>
          <w:color w:val="1F4E78"/>
        </w:rPr>
        <w:t xml:space="preserve">Institution / location: </w:t>
      </w:r>
      <w:r>
        <w:t>Private-sector partnership with a Pakistan hosting nexus.</w:t>
      </w:r>
    </w:p>
    <w:p>
      <w:pPr>
        <w:spacing w:after="60"/>
      </w:pPr>
      <w:r>
        <w:rPr>
          <w:b/>
          <w:color w:val="1F4E78"/>
        </w:rPr>
        <w:t xml:space="preserve">Evidence: </w:t>
      </w:r>
      <w:r>
        <w:t>The 29 August report uses forward-looking language such as “intend to explore” and “will evaluate.” It disclosed no contract value, GPU inventory, customer, workload, facility location, data-processing terms, deployment date or acceptance.</w:t>
      </w:r>
      <w:r>
        <w:t xml:space="preserve"> </w:t>
      </w:r>
      <w:hyperlink r:id="rId21">
        <w:r>
          <w:rPr>
            <w:rFonts w:ascii="Calibri" w:hAnsi="Calibri"/>
            <w:color w:val="1F4E78"/>
            <w:u w:val="single"/>
          </w:rPr>
          <w:t>Source</w:t>
        </w:r>
      </w:hyperlink>
    </w:p>
    <w:p>
      <w:pPr>
        <w:spacing w:after="60"/>
      </w:pPr>
      <w:r>
        <w:rPr>
          <w:b/>
          <w:color w:val="1F4E78"/>
        </w:rPr>
        <w:t xml:space="preserve">What changed: </w:t>
      </w:r>
      <w:r>
        <w:t>No post-cutoff implementation evidence.</w:t>
      </w:r>
    </w:p>
    <w:p>
      <w:pPr>
        <w:spacing w:after="60"/>
      </w:pPr>
      <w:r>
        <w:rPr>
          <w:b/>
          <w:color w:val="1F4E78"/>
        </w:rPr>
        <w:t xml:space="preserve">Why it matters: </w:t>
      </w:r>
      <w:r>
        <w:t>Treat the announcement as a market signal, not as commissioned sovereign compute or local hosting. Due diligence should test service location, ownership, processing roles, certifications, incident duties, resilience, exit and cross-border dependencies.</w:t>
      </w:r>
    </w:p>
    <w:p>
      <w:pPr>
        <w:spacing w:after="140"/>
      </w:pPr>
      <w:r>
        <w:rPr>
          <w:b/>
          <w:color w:val="1F4E78"/>
        </w:rPr>
        <w:t xml:space="preserve">Confidence: </w:t>
      </w:r>
      <w:r>
        <w:t>Medium on the announcement; low on implementation.</w:t>
      </w:r>
    </w:p>
    <w:p>
      <w:pPr>
        <w:pStyle w:val="ItemLabel"/>
      </w:pPr>
      <w:r>
        <w:t>Google-government digital and AI programmes</w:t>
      </w:r>
    </w:p>
    <w:p>
      <w:pPr>
        <w:spacing w:after="60"/>
      </w:pPr>
      <w:r>
        <w:rPr>
          <w:b/>
          <w:color w:val="1F4E78"/>
        </w:rPr>
        <w:t xml:space="preserve">Status: </w:t>
      </w:r>
      <w:r>
        <w:t>MoU/announced programmes; no post-cutoff disbursement or output milestone.</w:t>
      </w:r>
    </w:p>
    <w:p>
      <w:pPr>
        <w:spacing w:after="60"/>
      </w:pPr>
      <w:r>
        <w:rPr>
          <w:b/>
          <w:color w:val="1F4E78"/>
        </w:rPr>
        <w:t xml:space="preserve">Institution / location: </w:t>
      </w:r>
      <w:r>
        <w:t>Government of Pakistan, MoITT and Google; Islamabad and national scope.</w:t>
      </w:r>
    </w:p>
    <w:p>
      <w:pPr>
        <w:spacing w:after="60"/>
      </w:pPr>
      <w:r>
        <w:rPr>
          <w:b/>
          <w:color w:val="1F4E78"/>
        </w:rPr>
        <w:t xml:space="preserve">Evidence: </w:t>
      </w:r>
      <w:r>
        <w:t>The 21 August PID release describes planned Gemini access, 150,000 Career Certificates in 2026, an AI Centre of Excellence, FBR support and sectoral collaboration. No post-cutoff implementation schedule, expenditure, beneficiary completion or audited result surfaced.</w:t>
      </w:r>
      <w:r>
        <w:t xml:space="preserve"> </w:t>
      </w:r>
      <w:hyperlink r:id="rId22">
        <w:r>
          <w:rPr>
            <w:rFonts w:ascii="Calibri" w:hAnsi="Calibri"/>
            <w:color w:val="1F4E78"/>
            <w:u w:val="single"/>
          </w:rPr>
          <w:t>Source</w:t>
        </w:r>
      </w:hyperlink>
    </w:p>
    <w:p>
      <w:pPr>
        <w:spacing w:after="60"/>
      </w:pPr>
      <w:r>
        <w:rPr>
          <w:b/>
          <w:color w:val="1F4E78"/>
        </w:rPr>
        <w:t xml:space="preserve">What changed: </w:t>
      </w:r>
      <w:r>
        <w:t>No change after 19:24 PKT.</w:t>
      </w:r>
    </w:p>
    <w:p>
      <w:pPr>
        <w:spacing w:after="60"/>
      </w:pPr>
      <w:r>
        <w:rPr>
          <w:b/>
          <w:color w:val="1F4E78"/>
        </w:rPr>
        <w:t xml:space="preserve">Why it matters: </w:t>
      </w:r>
      <w:r>
        <w:t>The MoU can expand skills and public-sector experimentation, but companies and agencies should distinguish offered access and targets from completed training, deployed systems, data hosting, procurement and durable local investment.</w:t>
      </w:r>
    </w:p>
    <w:p>
      <w:pPr>
        <w:spacing w:after="140"/>
      </w:pPr>
      <w:r>
        <w:rPr>
          <w:b/>
          <w:color w:val="1F4E78"/>
        </w:rPr>
        <w:t xml:space="preserve">Confidence: </w:t>
      </w:r>
      <w:r>
        <w:t>High on the MoU announcement; medium on delivery status.</w:t>
      </w:r>
    </w:p>
    <w:p>
      <w:pPr>
        <w:pStyle w:val="Heading1"/>
      </w:pPr>
      <w:r>
        <w:t>6. Provincial and local developments</w:t>
      </w:r>
    </w:p>
    <w:p>
      <w:pPr>
        <w:pStyle w:val="ItemLabel"/>
      </w:pPr>
      <w:r>
        <w:t>Punjab Data Lake, OneMap, sovereign cloud and AI Office</w:t>
      </w:r>
    </w:p>
    <w:p>
      <w:pPr>
        <w:spacing w:after="60"/>
      </w:pPr>
      <w:r>
        <w:rPr>
          <w:b/>
          <w:color w:val="1F4E78"/>
        </w:rPr>
        <w:t xml:space="preserve">Status: </w:t>
      </w:r>
      <w:r>
        <w:t>Announced/discussed baseline; no post-cutoff signed implementation or acceptance evidence.</w:t>
      </w:r>
    </w:p>
    <w:p>
      <w:pPr>
        <w:spacing w:after="60"/>
      </w:pPr>
      <w:r>
        <w:rPr>
          <w:b/>
          <w:color w:val="1F4E78"/>
        </w:rPr>
        <w:t xml:space="preserve">Institution / location: </w:t>
      </w:r>
      <w:r>
        <w:t>Government of Punjab; Lahore/Guiyang cooperation context.</w:t>
      </w:r>
    </w:p>
    <w:p>
      <w:pPr>
        <w:spacing w:after="60"/>
      </w:pPr>
      <w:r>
        <w:rPr>
          <w:b/>
          <w:color w:val="1F4E78"/>
        </w:rPr>
        <w:t xml:space="preserve">Evidence: </w:t>
      </w:r>
      <w:r>
        <w:t>An APP report dated 28 August describes a Punjab Data Lake, OneMap integration of more than 12 TB of geospatial data from 31 departments and over 6,000 datasets, plus sovereign-cloud and AI-office ambitions. These are official claims relayed by state media, but the underlying legal basis, architecture, hosting, budget and acceptance records were not published in the checked window.</w:t>
      </w:r>
      <w:r>
        <w:t xml:space="preserve"> </w:t>
      </w:r>
      <w:hyperlink r:id="rId23">
        <w:r>
          <w:rPr>
            <w:rFonts w:ascii="Calibri" w:hAnsi="Calibri"/>
            <w:color w:val="1F4E78"/>
            <w:u w:val="single"/>
          </w:rPr>
          <w:t>Source</w:t>
        </w:r>
      </w:hyperlink>
    </w:p>
    <w:p>
      <w:pPr>
        <w:spacing w:after="60"/>
      </w:pPr>
      <w:r>
        <w:rPr>
          <w:b/>
          <w:color w:val="1F4E78"/>
        </w:rPr>
        <w:t xml:space="preserve">What changed: </w:t>
      </w:r>
      <w:r>
        <w:t>No post-cutoff change.</w:t>
      </w:r>
    </w:p>
    <w:p>
      <w:pPr>
        <w:spacing w:after="60"/>
      </w:pPr>
      <w:r>
        <w:rPr>
          <w:b/>
          <w:color w:val="1F4E78"/>
        </w:rPr>
        <w:t xml:space="preserve">Why it matters: </w:t>
      </w:r>
      <w:r>
        <w:t>A multi-agency data platform creates immediate governance questions: authority, purpose, access, quality, correction, retention, security, geospatial sensitivity, sharing, automated decisions, human review and redress. The draft national frameworks do not remove the need for project-level controls.</w:t>
      </w:r>
    </w:p>
    <w:p>
      <w:pPr>
        <w:spacing w:after="140"/>
      </w:pPr>
      <w:r>
        <w:rPr>
          <w:b/>
          <w:color w:val="1F4E78"/>
        </w:rPr>
        <w:t xml:space="preserve">Confidence: </w:t>
      </w:r>
      <w:r>
        <w:t>Medium.</w:t>
      </w:r>
    </w:p>
    <w:p>
      <w:pPr>
        <w:pStyle w:val="ItemLabel"/>
      </w:pPr>
      <w:r>
        <w:t>Punjab-Huawei AI and data-centre cooperation</w:t>
      </w:r>
    </w:p>
    <w:p>
      <w:pPr>
        <w:spacing w:after="60"/>
      </w:pPr>
      <w:r>
        <w:rPr>
          <w:b/>
          <w:color w:val="1F4E78"/>
        </w:rPr>
        <w:t xml:space="preserve">Status: </w:t>
      </w:r>
      <w:r>
        <w:t>Proposal/agreement-in-principle baseline; implementation scope remains unresolved.</w:t>
      </w:r>
    </w:p>
    <w:p>
      <w:pPr>
        <w:spacing w:after="60"/>
      </w:pPr>
      <w:r>
        <w:rPr>
          <w:b/>
          <w:color w:val="1F4E78"/>
        </w:rPr>
        <w:t xml:space="preserve">Institution / location: </w:t>
      </w:r>
      <w:r>
        <w:t>Government of Punjab, Huawei and Nawaz Sharif IT City.</w:t>
      </w:r>
    </w:p>
    <w:p>
      <w:pPr>
        <w:spacing w:after="60"/>
      </w:pPr>
      <w:r>
        <w:rPr>
          <w:b/>
          <w:color w:val="1F4E78"/>
        </w:rPr>
        <w:t xml:space="preserve">Evidence: </w:t>
      </w:r>
      <w:r>
        <w:t>Reporting published 29 August before the cutoff described training targets, an AI Delivery Unit proposal and discussion of six data centres, including a sovereign data centre. No primary signed instrument, financing, procurement, sites, capacity, safeguards or delivery milestone surfaced after the cutoff.</w:t>
      </w:r>
      <w:r>
        <w:t xml:space="preserve"> </w:t>
      </w:r>
      <w:hyperlink r:id="rId24">
        <w:r>
          <w:rPr>
            <w:rFonts w:ascii="Calibri" w:hAnsi="Calibri"/>
            <w:color w:val="1F4E78"/>
            <w:u w:val="single"/>
          </w:rPr>
          <w:t>Source</w:t>
        </w:r>
      </w:hyperlink>
    </w:p>
    <w:p>
      <w:pPr>
        <w:spacing w:after="60"/>
      </w:pPr>
      <w:r>
        <w:rPr>
          <w:b/>
          <w:color w:val="1F4E78"/>
        </w:rPr>
        <w:t xml:space="preserve">What changed: </w:t>
      </w:r>
      <w:r>
        <w:t>No post-cutoff change.</w:t>
      </w:r>
    </w:p>
    <w:p>
      <w:pPr>
        <w:spacing w:after="60"/>
      </w:pPr>
      <w:r>
        <w:rPr>
          <w:b/>
          <w:color w:val="1F4E78"/>
        </w:rPr>
        <w:t xml:space="preserve">Why it matters: </w:t>
      </w:r>
      <w:r>
        <w:t>The proposal is potentially material, but investment and capacity should not be counted until written scope, budget, owners, procurement, power/network design, security, data-processing responsibilities and delivery evidence are available.</w:t>
      </w:r>
    </w:p>
    <w:p>
      <w:pPr>
        <w:spacing w:after="140"/>
      </w:pPr>
      <w:r>
        <w:rPr>
          <w:b/>
          <w:color w:val="1F4E78"/>
        </w:rPr>
        <w:t xml:space="preserve">Confidence: </w:t>
      </w:r>
      <w:r>
        <w:t>Medium.</w:t>
      </w:r>
    </w:p>
    <w:p>
      <w:r>
        <w:t>No timestamp-verifiable post-cutoff provincial funding release, financial close, signed workplan, first deployment or accepted output surfaced for Sindh, Khyber Pakhtunkhwa, Balochistan, AJK, Gilgit-Baltistan or local authorities. Confidence: medium because provincial pages are often mutable or date-only and indexing can lag.</w:t>
      </w:r>
    </w:p>
    <w:p>
      <w:pPr>
        <w:pStyle w:val="Heading1"/>
      </w:pPr>
      <w:r>
        <w:t>7. What changed / why it matters</w:t>
      </w:r>
    </w:p>
    <w:p>
      <w:r>
        <w:t>What changed: nothing material was verified after the 19:24 PKT cutoff. The live evidence did not advance any item from proposal to approval, approval to funding, tender to award, contract to commissioning, announcement to realised investment, or ceremony to a fully disclosed operational footprint.</w:t>
      </w:r>
    </w:p>
    <w:p>
      <w:r>
        <w:t>Why it matters: the main decision risk today is status inflation. Pakistan has a dense pipeline of AI, sovereign-cloud, data-exchange, skills and infrastructure announcements, but relatively few public artefacts showing financing, technical capacity, binding safeguards, delivery, acceptance or performance. Readers should price implementation probability from operative documents and measurable milestones, not announcement volume.</w:t>
      </w:r>
    </w:p>
    <w:p>
      <w:pPr>
        <w:pStyle w:val="ListBullet"/>
      </w:pPr>
      <w:r>
        <w:rPr>
          <w:b/>
        </w:rPr>
        <w:t xml:space="preserve">Companies and cloud/AI vendors: </w:t>
      </w:r>
      <w:r>
        <w:t>Use project-level privacy, security, localization/transfer, subprocessor, audit, resilience and exit terms. Do not treat draft policy as settled law or “sovereign” as a substitute for disclosed processing locations and control rights.</w:t>
      </w:r>
    </w:p>
    <w:p>
      <w:pPr>
        <w:pStyle w:val="ListBullet"/>
      </w:pPr>
      <w:r>
        <w:rPr>
          <w:b/>
        </w:rPr>
        <w:t xml:space="preserve">Public bodies: </w:t>
      </w:r>
      <w:r>
        <w:t>Publish lawful authority, purpose, data inventories, role allocation, risk/impact assessments, human review, procurement criteria, incident processes, acceptance tests, complaints and redress for production AI and shared-data systems.</w:t>
      </w:r>
    </w:p>
    <w:p>
      <w:pPr>
        <w:pStyle w:val="ListBullet"/>
      </w:pPr>
      <w:r>
        <w:rPr>
          <w:b/>
        </w:rPr>
        <w:t xml:space="preserve">Investors and lenders: </w:t>
      </w:r>
      <w:r>
        <w:t>Demand signed instruments, financing sources, site rights, energy and network design, equipment/capacity lists, implementation calendars, customer/workload evidence, certification and acceptance before treating announced facilities as operating assets.</w:t>
      </w:r>
    </w:p>
    <w:p>
      <w:pPr>
        <w:pStyle w:val="ListBullet"/>
      </w:pPr>
      <w:r>
        <w:rPr>
          <w:b/>
        </w:rPr>
        <w:t xml:space="preserve">Users and civil society: </w:t>
      </w:r>
      <w:r>
        <w:t>Track whether data-use, correction, appeal, deletion, breach notice and automated-decision safeguards are actually available at service level while the horizontal privacy framework remains draft.</w:t>
      </w:r>
    </w:p>
    <w:p>
      <w:pPr>
        <w:pStyle w:val="Heading1"/>
      </w:pPr>
      <w:r>
        <w:t>8. Watchlist</w:t>
      </w:r>
    </w:p>
    <w:p>
      <w:pPr>
        <w:pStyle w:val="ListBullet"/>
      </w:pPr>
      <w:r>
        <w:t>AI implementation: council/directorate/centres; Master Plan or Action Matrix; sandbox rulebook; public AI register; impact assessment, audit, procurement, incident and redress standards; compute-grid operator, inventory, funding, access, pricing and accepted workloads.</w:t>
      </w:r>
    </w:p>
    <w:p>
      <w:pPr>
        <w:pStyle w:val="ListBullet"/>
      </w:pPr>
      <w:r>
        <w:t>Data/cyber/telecom: successor personal-data law; notified Data Governance Policy; final/binding WASL instruments; PKCERT Advisory 18; Cyber Security Act; authenticated successor telecom bill; NCSOC performance metrics; Karachi airport root cause, recovery and tested failover.</w:t>
      </w:r>
    </w:p>
    <w:p>
      <w:pPr>
        <w:pStyle w:val="ListBullet"/>
      </w:pPr>
      <w:r>
        <w:t>Procurement/infrastructure: National AI Hubs after 31 August; NTC procurements after their closing dates; sovereign AI infrastructure after 21 September; State Life Karachi switches after 23 September; FAB delivery/commissioning/acceptance; site-level power, cooling, resilience, connectivity and accepted workloads.</w:t>
      </w:r>
    </w:p>
    <w:p>
      <w:pPr>
        <w:pStyle w:val="ListBullet"/>
      </w:pPr>
      <w:r>
        <w:t>Funding/programmes: PSEB-NED signed instrument, value, financing, labs and outcomes; Pakistan Startup Fund 2.0 instrument, manager, financial close and first deployment; ECNEC decisions and releases for data-centre and AI-ecosystem projects.</w:t>
      </w:r>
    </w:p>
    <w:p>
      <w:pPr>
        <w:pStyle w:val="ListBullet"/>
      </w:pPr>
      <w:r>
        <w:t>Provinces: Punjab-Guizhou working-group instrument; Punjab-Huawei written scope, financing, sites and safeguards; Punjab Data Lake/OneMap legal basis and controls; federal-Sindh workplan; primary KP, Balochistan, AJK and GB delivery evidence.</w:t>
      </w:r>
    </w:p>
    <w:p>
      <w:pPr>
        <w:pStyle w:val="ListBullet"/>
      </w:pPr>
      <w:r>
        <w:t>Google/private partnerships: canonical Pakistan address, premises, employing entity, staffing, mandate, realised investment and local hosting; 1 October invoicing transition; Google Cloud/data-centre status; Resecurity-Sky47 scope, customers, workloads, capacity, processing terms, certifications, incident duties, resilience and exit.</w:t>
      </w:r>
    </w:p>
    <w:p>
      <w:pPr>
        <w:pStyle w:val="Heading1"/>
      </w:pPr>
      <w:r>
        <w:t>9. Google in Pakistan: unresolved operational questions</w:t>
      </w:r>
    </w:p>
    <w:p>
      <w:r>
        <w:t>No meaningful Google update was verified, so this is a watch note rather than a new-development section. Government releases support an 18 August Islamabad inauguration ceremony and a 21 August MoU. Google Careers still shows three Pakistan-filtered results, including two explicit Karachi roles. Google’s own office directory has no Pakistan address; its Cloud-region and owned-data-centre directories also have no Pakistan entry.</w:t>
      </w:r>
    </w:p>
    <w:p>
      <w:r>
        <w:t>Regulatory implications remain contingent on the actual local operating model. A representative or commercial office would raise employment, taxation, consumer, advertising, competition and platform-governance questions. Local hosting or Cloud infrastructure would add data-location, cross-border transfer, cybersecurity, critical-infrastructure, procurement and service-resilience issues. The present public evidence does not establish premises, employing entity, operational headcount, mandate, realised investment, Cloud region, owned data centre or Pakistan-hosting scope. Confidence: high on directory states; medium on the broader operational conclusion.</w:t>
      </w:r>
    </w:p>
    <w:p>
      <w:pPr>
        <w:pStyle w:val="Heading1"/>
      </w:pPr>
      <w:r>
        <w:t>10. Sources</w:t>
      </w:r>
    </w:p>
    <w:p>
      <w:pPr>
        <w:pStyle w:val="SourceEntry"/>
        <w:keepLines/>
        <w:spacing w:after="40"/>
        <w:ind w:left="331" w:hanging="331"/>
      </w:pPr>
      <w:r>
        <w:rPr>
          <w:b/>
        </w:rPr>
        <w:t xml:space="preserve">1. </w:t>
      </w:r>
      <w:r>
        <w:t xml:space="preserve">MoITT | live register; accessed 29 Aug 2026 | </w:t>
      </w:r>
      <w:hyperlink r:id="rId11">
        <w:r>
          <w:rPr>
            <w:rFonts w:ascii="Calibri" w:hAnsi="Calibri"/>
            <w:color w:val="1F4E78"/>
            <w:u w:val="single"/>
          </w:rPr>
          <w:t>Policies</w:t>
        </w:r>
      </w:hyperlink>
      <w:r>
        <w:t>. Lists National AI Policy Approved and Data Governance Policy 2026 Draft.</w:t>
      </w:r>
    </w:p>
    <w:p>
      <w:pPr>
        <w:pStyle w:val="SourceEntry"/>
        <w:keepLines/>
        <w:spacing w:after="40"/>
        <w:ind w:left="331" w:hanging="331"/>
      </w:pPr>
      <w:r>
        <w:rPr>
          <w:b/>
        </w:rPr>
        <w:t xml:space="preserve">2. </w:t>
      </w:r>
      <w:r>
        <w:t xml:space="preserve">MoITT | live register; accessed 29 Aug 2026 | </w:t>
      </w:r>
      <w:hyperlink r:id="rId13">
        <w:r>
          <w:rPr>
            <w:rFonts w:ascii="Calibri" w:hAnsi="Calibri"/>
            <w:color w:val="1F4E78"/>
            <w:u w:val="single"/>
          </w:rPr>
          <w:t>Legislations</w:t>
        </w:r>
      </w:hyperlink>
      <w:r>
        <w:t>. Lists the May 2023 Personal Data Protection Bill as Draft.</w:t>
      </w:r>
    </w:p>
    <w:p>
      <w:pPr>
        <w:pStyle w:val="SourceEntry"/>
        <w:keepLines/>
        <w:spacing w:after="40"/>
        <w:ind w:left="331" w:hanging="331"/>
      </w:pPr>
      <w:r>
        <w:rPr>
          <w:b/>
        </w:rPr>
        <w:t xml:space="preserve">3. </w:t>
      </w:r>
      <w:r>
        <w:t xml:space="preserve">Pakistan Digital Authority | 5 Aug 2026 | </w:t>
      </w:r>
      <w:hyperlink r:id="rId12">
        <w:r>
          <w:rPr>
            <w:rFonts w:ascii="Calibri" w:hAnsi="Calibri"/>
            <w:color w:val="1F4E78"/>
            <w:u w:val="single"/>
          </w:rPr>
          <w:t>Consultations concluded on the National Data Governance Policy 2026</w:t>
        </w:r>
      </w:hyperlink>
      <w:r>
        <w:t>. Says feedback will be incorporated before finalisation.</w:t>
      </w:r>
    </w:p>
    <w:p>
      <w:pPr>
        <w:pStyle w:val="SourceEntry"/>
        <w:keepLines/>
        <w:spacing w:after="40"/>
        <w:ind w:left="331" w:hanging="331"/>
      </w:pPr>
      <w:r>
        <w:rPr>
          <w:b/>
        </w:rPr>
        <w:t xml:space="preserve">4. </w:t>
      </w:r>
      <w:r>
        <w:t xml:space="preserve">Digital Nation Pakistan Standards | live register; accessed 29 Aug 2026 | </w:t>
      </w:r>
      <w:hyperlink r:id="rId14">
        <w:r>
          <w:rPr>
            <w:rFonts w:ascii="Calibri" w:hAnsi="Calibri"/>
            <w:color w:val="1F4E78"/>
            <w:u w:val="single"/>
          </w:rPr>
          <w:t>Publications Register</w:t>
        </w:r>
      </w:hyperlink>
      <w:r>
        <w:t>. Four Pilot publications.</w:t>
      </w:r>
    </w:p>
    <w:p>
      <w:pPr>
        <w:pStyle w:val="SourceEntry"/>
        <w:keepLines/>
        <w:spacing w:after="40"/>
        <w:ind w:left="331" w:hanging="331"/>
      </w:pPr>
      <w:r>
        <w:rPr>
          <w:b/>
        </w:rPr>
        <w:t xml:space="preserve">5. </w:t>
      </w:r>
      <w:r>
        <w:t xml:space="preserve">PKCERT | live register; accessed 29 Aug 2026 | </w:t>
      </w:r>
      <w:hyperlink r:id="rId15">
        <w:r>
          <w:rPr>
            <w:rFonts w:ascii="Calibri" w:hAnsi="Calibri"/>
            <w:color w:val="1F4E78"/>
            <w:u w:val="single"/>
          </w:rPr>
          <w:t>Advisories</w:t>
        </w:r>
      </w:hyperlink>
      <w:r>
        <w:t>. Top listing remains Advisory 17.</w:t>
      </w:r>
    </w:p>
    <w:p>
      <w:pPr>
        <w:pStyle w:val="SourceEntry"/>
        <w:keepLines/>
        <w:spacing w:after="40"/>
        <w:ind w:left="331" w:hanging="331"/>
      </w:pPr>
      <w:r>
        <w:rPr>
          <w:b/>
        </w:rPr>
        <w:t xml:space="preserve">6. </w:t>
      </w:r>
      <w:r>
        <w:t xml:space="preserve">Senate of Pakistan | live register; accessed 29 Aug 2026 | </w:t>
      </w:r>
      <w:hyperlink r:id="rId25">
        <w:r>
          <w:rPr>
            <w:rFonts w:ascii="Calibri" w:hAnsi="Calibri"/>
            <w:color w:val="1F4E78"/>
            <w:u w:val="single"/>
          </w:rPr>
          <w:t>Government Bills</w:t>
        </w:r>
      </w:hyperlink>
      <w:r>
        <w:t>. Records the telecom amendment bill as withdrawn on 28 Aug 2026.</w:t>
      </w:r>
    </w:p>
    <w:p>
      <w:pPr>
        <w:pStyle w:val="SourceEntry"/>
        <w:keepLines/>
        <w:spacing w:after="40"/>
        <w:ind w:left="331" w:hanging="331"/>
      </w:pPr>
      <w:r>
        <w:rPr>
          <w:b/>
        </w:rPr>
        <w:t xml:space="preserve">7. </w:t>
      </w:r>
      <w:r>
        <w:t xml:space="preserve">PPRA | live register; accessed 29 Aug 2026 | </w:t>
      </w:r>
      <w:hyperlink r:id="rId16">
        <w:r>
          <w:rPr>
            <w:rFonts w:ascii="Calibri" w:hAnsi="Calibri"/>
            <w:color w:val="1F4E78"/>
            <w:u w:val="single"/>
          </w:rPr>
          <w:t>Active Tenders</w:t>
        </w:r>
      </w:hyperlink>
      <w:r>
        <w:t>. 1,815 records at cutoff.</w:t>
      </w:r>
    </w:p>
    <w:p>
      <w:pPr>
        <w:pStyle w:val="SourceEntry"/>
        <w:keepLines/>
        <w:spacing w:after="40"/>
        <w:ind w:left="331" w:hanging="331"/>
      </w:pPr>
      <w:r>
        <w:rPr>
          <w:b/>
        </w:rPr>
        <w:t xml:space="preserve">8. </w:t>
      </w:r>
      <w:r>
        <w:t xml:space="preserve">PPRA | live register; accessed 29 Aug 2026 | </w:t>
      </w:r>
      <w:hyperlink r:id="rId26">
        <w:r>
          <w:rPr>
            <w:rFonts w:ascii="Calibri" w:hAnsi="Calibri"/>
            <w:color w:val="1F4E78"/>
            <w:u w:val="single"/>
          </w:rPr>
          <w:t>Evaluation Results</w:t>
        </w:r>
      </w:hyperlink>
      <w:r>
        <w:t>. 2,854 records at cutoff.</w:t>
      </w:r>
    </w:p>
    <w:p>
      <w:pPr>
        <w:pStyle w:val="SourceEntry"/>
        <w:keepLines/>
        <w:spacing w:after="40"/>
        <w:ind w:left="331" w:hanging="331"/>
      </w:pPr>
      <w:r>
        <w:rPr>
          <w:b/>
        </w:rPr>
        <w:t xml:space="preserve">9. </w:t>
      </w:r>
      <w:r>
        <w:t xml:space="preserve">PPRA | live register; accessed 29 Aug 2026 | </w:t>
      </w:r>
      <w:hyperlink r:id="rId27">
        <w:r>
          <w:rPr>
            <w:rFonts w:ascii="Calibri" w:hAnsi="Calibri"/>
            <w:color w:val="1F4E78"/>
            <w:u w:val="single"/>
          </w:rPr>
          <w:t>Procurement Contracts</w:t>
        </w:r>
      </w:hyperlink>
      <w:r>
        <w:t>. 543 records at cutoff.</w:t>
      </w:r>
    </w:p>
    <w:p>
      <w:pPr>
        <w:pStyle w:val="SourceEntry"/>
        <w:keepLines/>
        <w:spacing w:after="40"/>
        <w:ind w:left="331" w:hanging="331"/>
      </w:pPr>
      <w:r>
        <w:rPr>
          <w:b/>
        </w:rPr>
        <w:t xml:space="preserve">10. </w:t>
      </w:r>
      <w:r>
        <w:t xml:space="preserve">PPRA | 25 Aug 2026 listing | </w:t>
      </w:r>
      <w:hyperlink r:id="rId18">
        <w:r>
          <w:rPr>
            <w:rFonts w:ascii="Calibri" w:hAnsi="Calibri"/>
            <w:color w:val="1F4E78"/>
            <w:u w:val="single"/>
          </w:rPr>
          <w:t>FAB spectrum-monitoring contract PCN-3884318406</w:t>
        </w:r>
      </w:hyperlink>
      <w:r>
        <w:t>. PKR 196,308,167; commissioning/acceptance not separately verified.</w:t>
      </w:r>
    </w:p>
    <w:p>
      <w:pPr>
        <w:pStyle w:val="SourceEntry"/>
        <w:keepLines/>
        <w:spacing w:after="40"/>
        <w:ind w:left="331" w:hanging="331"/>
      </w:pPr>
      <w:r>
        <w:rPr>
          <w:b/>
        </w:rPr>
        <w:t xml:space="preserve">11. </w:t>
      </w:r>
      <w:r>
        <w:t xml:space="preserve">EPADS | live procurement; accessed 29 Aug 2026 | </w:t>
      </w:r>
      <w:hyperlink r:id="rId17">
        <w:r>
          <w:rPr>
            <w:rFonts w:ascii="Calibri" w:hAnsi="Calibri"/>
            <w:color w:val="1F4E78"/>
            <w:u w:val="single"/>
          </w:rPr>
          <w:t>National AI Hubs procurement P71677</w:t>
        </w:r>
      </w:hyperlink>
      <w:r>
        <w:t>. Tender-stage baseline.</w:t>
      </w:r>
    </w:p>
    <w:p>
      <w:pPr>
        <w:pStyle w:val="SourceEntry"/>
        <w:keepLines/>
        <w:spacing w:after="40"/>
        <w:ind w:left="331" w:hanging="331"/>
      </w:pPr>
      <w:r>
        <w:rPr>
          <w:b/>
        </w:rPr>
        <w:t xml:space="preserve">12. </w:t>
      </w:r>
      <w:r>
        <w:t xml:space="preserve">Press Information Department | 25 Jun 2026 | </w:t>
      </w:r>
      <w:hyperlink r:id="rId19">
        <w:r>
          <w:rPr>
            <w:rFonts w:ascii="Calibri" w:hAnsi="Calibri"/>
            <w:color w:val="1F4E78"/>
            <w:u w:val="single"/>
          </w:rPr>
          <w:t>CDWP review of Emerging Technologies Data Centre and NAIEDP</w:t>
        </w:r>
      </w:hyperlink>
      <w:r>
        <w:t>. In-principle/planning-stage record.</w:t>
      </w:r>
    </w:p>
    <w:p>
      <w:pPr>
        <w:pStyle w:val="SourceEntry"/>
        <w:keepLines/>
        <w:spacing w:after="40"/>
        <w:ind w:left="331" w:hanging="331"/>
      </w:pPr>
      <w:r>
        <w:rPr>
          <w:b/>
        </w:rPr>
        <w:t xml:space="preserve">13. </w:t>
      </w:r>
      <w:r>
        <w:t xml:space="preserve">Press Information Department | 21 Aug 2026 | </w:t>
      </w:r>
      <w:hyperlink r:id="rId22">
        <w:r>
          <w:rPr>
            <w:rFonts w:ascii="Calibri" w:hAnsi="Calibri"/>
            <w:color w:val="1F4E78"/>
            <w:u w:val="single"/>
          </w:rPr>
          <w:t>Government of Pakistan-Google MoU</w:t>
        </w:r>
      </w:hyperlink>
      <w:r>
        <w:t>. Skills, AI tools and public-sector collaboration targets.</w:t>
      </w:r>
    </w:p>
    <w:p>
      <w:pPr>
        <w:pStyle w:val="SourceEntry"/>
        <w:keepLines/>
        <w:spacing w:after="40"/>
        <w:ind w:left="331" w:hanging="331"/>
      </w:pPr>
      <w:r>
        <w:rPr>
          <w:b/>
        </w:rPr>
        <w:t xml:space="preserve">14. </w:t>
      </w:r>
      <w:r>
        <w:t xml:space="preserve">Press Information Department | 18 Aug 2026 | </w:t>
      </w:r>
      <w:hyperlink r:id="rId28">
        <w:r>
          <w:rPr>
            <w:rFonts w:ascii="Calibri" w:hAnsi="Calibri"/>
            <w:color w:val="1F4E78"/>
            <w:u w:val="single"/>
          </w:rPr>
          <w:t>Prime Minister meets Google delegation and inaugurates first office</w:t>
        </w:r>
      </w:hyperlink>
      <w:r>
        <w:t>. Government ceremony claim.</w:t>
      </w:r>
    </w:p>
    <w:p>
      <w:pPr>
        <w:pStyle w:val="SourceEntry"/>
        <w:keepLines/>
        <w:spacing w:after="40"/>
        <w:ind w:left="331" w:hanging="331"/>
      </w:pPr>
      <w:r>
        <w:rPr>
          <w:b/>
        </w:rPr>
        <w:t xml:space="preserve">15. </w:t>
      </w:r>
      <w:r>
        <w:t xml:space="preserve">Google Careers | live page; accessed 29 Aug 2026 | </w:t>
      </w:r>
      <w:hyperlink r:id="rId29">
        <w:r>
          <w:rPr>
            <w:rFonts w:ascii="Calibri" w:hAnsi="Calibri"/>
            <w:color w:val="1F4E78"/>
            <w:u w:val="single"/>
          </w:rPr>
          <w:t>Pakistan-filtered jobs</w:t>
        </w:r>
      </w:hyperlink>
      <w:r>
        <w:t>. Three matches; two explicit Karachi roles.</w:t>
      </w:r>
    </w:p>
    <w:p>
      <w:pPr>
        <w:pStyle w:val="SourceEntry"/>
        <w:keepLines/>
        <w:spacing w:after="40"/>
        <w:ind w:left="331" w:hanging="331"/>
      </w:pPr>
      <w:r>
        <w:rPr>
          <w:b/>
        </w:rPr>
        <w:t xml:space="preserve">16. </w:t>
      </w:r>
      <w:r>
        <w:t xml:space="preserve">Google | live page; accessed 29 Aug 2026 | </w:t>
      </w:r>
      <w:hyperlink r:id="rId30">
        <w:r>
          <w:rPr>
            <w:rFonts w:ascii="Calibri" w:hAnsi="Calibri"/>
            <w:color w:val="1F4E78"/>
            <w:u w:val="single"/>
          </w:rPr>
          <w:t>Office locations</w:t>
        </w:r>
      </w:hyperlink>
      <w:r>
        <w:t>. No Pakistan entry found.</w:t>
      </w:r>
    </w:p>
    <w:p>
      <w:pPr>
        <w:pStyle w:val="SourceEntry"/>
        <w:keepLines/>
        <w:spacing w:after="40"/>
        <w:ind w:left="331" w:hanging="331"/>
      </w:pPr>
      <w:r>
        <w:rPr>
          <w:b/>
        </w:rPr>
        <w:t xml:space="preserve">17. </w:t>
      </w:r>
      <w:r>
        <w:t xml:space="preserve">Google Cloud | page updated 17 Aug 2026; accessed 29 Aug 2026 | </w:t>
      </w:r>
      <w:hyperlink r:id="rId31">
        <w:r>
          <w:rPr>
            <w:rFonts w:ascii="Calibri" w:hAnsi="Calibri"/>
            <w:color w:val="1F4E78"/>
            <w:u w:val="single"/>
          </w:rPr>
          <w:t>Global locations</w:t>
        </w:r>
      </w:hyperlink>
      <w:r>
        <w:t>. No Pakistan Cloud region found.</w:t>
      </w:r>
    </w:p>
    <w:p>
      <w:pPr>
        <w:pStyle w:val="SourceEntry"/>
        <w:keepLines/>
        <w:spacing w:after="40"/>
        <w:ind w:left="331" w:hanging="331"/>
      </w:pPr>
      <w:r>
        <w:rPr>
          <w:b/>
        </w:rPr>
        <w:t xml:space="preserve">18. </w:t>
      </w:r>
      <w:r>
        <w:t xml:space="preserve">Google Data Centers | live page; accessed 29 Aug 2026 | </w:t>
      </w:r>
      <w:hyperlink r:id="rId32">
        <w:r>
          <w:rPr>
            <w:rFonts w:ascii="Calibri" w:hAnsi="Calibri"/>
            <w:color w:val="1F4E78"/>
            <w:u w:val="single"/>
          </w:rPr>
          <w:t>Data-center locations</w:t>
        </w:r>
      </w:hyperlink>
      <w:r>
        <w:t>. No Pakistan entry found.</w:t>
      </w:r>
    </w:p>
    <w:p>
      <w:pPr>
        <w:pStyle w:val="SourceEntry"/>
        <w:keepLines/>
        <w:spacing w:after="40"/>
        <w:ind w:left="331" w:hanging="331"/>
      </w:pPr>
      <w:r>
        <w:rPr>
          <w:b/>
        </w:rPr>
        <w:t xml:space="preserve">19. </w:t>
      </w:r>
      <w:r>
        <w:t xml:space="preserve">APP | 28 Aug 2026 | </w:t>
      </w:r>
      <w:hyperlink r:id="rId23">
        <w:r>
          <w:rPr>
            <w:rFonts w:ascii="Calibri" w:hAnsi="Calibri"/>
            <w:color w:val="1F4E78"/>
            <w:u w:val="single"/>
          </w:rPr>
          <w:t>Punjab Data Lake and OneMap announcement</w:t>
        </w:r>
      </w:hyperlink>
      <w:r>
        <w:t>. Official claims relayed by state media; implementation artefacts unresolved.</w:t>
      </w:r>
    </w:p>
    <w:p>
      <w:pPr>
        <w:pStyle w:val="SourceEntry"/>
        <w:keepLines/>
        <w:spacing w:after="40"/>
        <w:ind w:left="331" w:hanging="331"/>
      </w:pPr>
      <w:r>
        <w:rPr>
          <w:b/>
        </w:rPr>
        <w:t xml:space="preserve">20. </w:t>
      </w:r>
      <w:r>
        <w:t xml:space="preserve">Business Recorder | 29 Aug 2026; updated 05:25 PKT | </w:t>
      </w:r>
      <w:hyperlink r:id="rId24">
        <w:r>
          <w:rPr>
            <w:rFonts w:ascii="Calibri" w:hAnsi="Calibri"/>
            <w:color w:val="1F4E78"/>
            <w:u w:val="single"/>
          </w:rPr>
          <w:t>Punjab-Huawei AI and digital cooperation</w:t>
        </w:r>
      </w:hyperlink>
      <w:r>
        <w:t>. Proposal/discussion-stage reporting.</w:t>
      </w:r>
    </w:p>
    <w:p>
      <w:pPr>
        <w:pStyle w:val="SourceEntry"/>
        <w:keepLines/>
        <w:spacing w:after="40"/>
        <w:ind w:left="331" w:hanging="331"/>
      </w:pPr>
      <w:r>
        <w:rPr>
          <w:b/>
        </w:rPr>
        <w:t xml:space="preserve">21. </w:t>
      </w:r>
      <w:r>
        <w:t xml:space="preserve">Dawn | 29 Aug 2026 | </w:t>
      </w:r>
      <w:hyperlink r:id="rId21">
        <w:r>
          <w:rPr>
            <w:rFonts w:ascii="Calibri" w:hAnsi="Calibri"/>
            <w:color w:val="1F4E78"/>
            <w:u w:val="single"/>
          </w:rPr>
          <w:t>Resecurity and Sky47 partnership advertorial</w:t>
        </w:r>
      </w:hyperlink>
      <w:r>
        <w:t>. Forward-looking announcement; implementation details absent.</w:t>
      </w:r>
    </w:p>
    <w:p>
      <w:pPr>
        <w:pStyle w:val="Heading2"/>
      </w:pPr>
      <w:r>
        <w:t>Confidence note</w:t>
      </w:r>
    </w:p>
    <w:p>
      <w:r>
        <w:t>High confidence applies where an authoritative live register or primary release clearly establishes a named status, date or figure. Medium confidence applies to broad absence findings and implementation gaps because the comparison window is narrow, some pages are mutable or date-only, PTA timed out in one track, and publication/indexing can lag. Low confidence is used only where implementation is inferred from promotional or forward-looking language without operative documents.</w:t>
      </w:r>
    </w:p>
    <w:sectPr w:rsidR="00FC693F" w:rsidRPr="0006063C" w:rsidSect="00034616">
      <w:headerReference w:type="default" r:id="rId9"/>
      <w:footerReference w:type="default" r:id="rId10"/>
      <w:pgSz w:w="12240" w:h="15840"/>
      <w:pgMar w:top="1181" w:right="1267" w:bottom="1080"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29 AUGUST 2026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6"/>
      </w:rPr>
      <w:t>PAKISTAN AI POLICY MONITOR  |  DAILY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7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72B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605" w:hanging="288"/>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605" w:hanging="288"/>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Label">
    <w:name w:val="Item Label"/>
    <w:basedOn w:val="Normal"/>
    <w:pPr>
      <w:keepNext/>
      <w:spacing w:before="140" w:after="40"/>
    </w:pPr>
    <w:rPr>
      <w:rFonts w:ascii="Calibri" w:hAnsi="Calibri"/>
      <w:b/>
      <w:color w:val="172B3A"/>
      <w:sz w:val="22"/>
    </w:rPr>
  </w:style>
  <w:style w:type="paragraph" w:customStyle="1" w:styleId="SourceEntry">
    <w:name w:val="Source Entry"/>
    <w:basedOn w:val="Normal"/>
    <w:pPr>
      <w:spacing w:after="40" w:line="240" w:lineRule="auto"/>
    </w:pPr>
    <w:rPr>
      <w:rFonts w:ascii="Calibri" w:hAnsi="Calibri"/>
      <w:color w:val="172B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itt.gov.pk/Policies" TargetMode="External"/><Relationship Id="rId12" Type="http://schemas.openxmlformats.org/officeDocument/2006/relationships/hyperlink" Target="https://pda.gov.pk/press-details.php?id=pda-dgp-consultation" TargetMode="External"/><Relationship Id="rId13" Type="http://schemas.openxmlformats.org/officeDocument/2006/relationships/hyperlink" Target="https://www.moitt.gov.pk/Legislations" TargetMode="External"/><Relationship Id="rId14" Type="http://schemas.openxmlformats.org/officeDocument/2006/relationships/hyperlink" Target="https://standards.dnp.gov.pk/register.html" TargetMode="External"/><Relationship Id="rId15" Type="http://schemas.openxmlformats.org/officeDocument/2006/relationships/hyperlink" Target="https://pkcert.gov.pk/advisories.asp" TargetMode="External"/><Relationship Id="rId16" Type="http://schemas.openxmlformats.org/officeDocument/2006/relationships/hyperlink" Target="https://epms.ppra.gov.pk/public/tenders/active-tenders?page=1" TargetMode="External"/><Relationship Id="rId17" Type="http://schemas.openxmlformats.org/officeDocument/2006/relationships/hyperlink" Target="https://epads.gov.pk/opportunities/federal/procurements/71677" TargetMode="External"/><Relationship Id="rId18" Type="http://schemas.openxmlformats.org/officeDocument/2006/relationships/hyperlink" Target="https://epms.ppra.gov.pk/public/contracts/contract-details/PCN-3884318406" TargetMode="External"/><Relationship Id="rId19" Type="http://schemas.openxmlformats.org/officeDocument/2006/relationships/hyperlink" Target="https://pid.gov.pk/site/press_detail/33093" TargetMode="External"/><Relationship Id="rId20" Type="http://schemas.openxmlformats.org/officeDocument/2006/relationships/hyperlink" Target="https://pid.gov.pk/site/press" TargetMode="External"/><Relationship Id="rId21" Type="http://schemas.openxmlformats.org/officeDocument/2006/relationships/hyperlink" Target="https://www.dawn.com/news/2025965/resecurity-and-sky47-partner-to-enable-sovereign-cybersecurity-and-ai-infrastructure-in-pakistan" TargetMode="External"/><Relationship Id="rId22" Type="http://schemas.openxmlformats.org/officeDocument/2006/relationships/hyperlink" Target="https://pid.gov.pk/site/press_detail/33684" TargetMode="External"/><Relationship Id="rId23" Type="http://schemas.openxmlformats.org/officeDocument/2006/relationships/hyperlink" Target="https://www.app.com.pk/punjab/maryam-delivers-thought-provoking-address-at-big-data-industry-expo/" TargetMode="External"/><Relationship Id="rId24" Type="http://schemas.openxmlformats.org/officeDocument/2006/relationships/hyperlink" Target="https://www.brecorder.com/news/40436971/punjab-huawei-agree-to-expand-ai-digital-cooperation" TargetMode="External"/><Relationship Id="rId25" Type="http://schemas.openxmlformats.org/officeDocument/2006/relationships/hyperlink" Target="https://www.senate.gov.pk/en/gbna.php?catid=186&amp;cattitle=Bills&amp;leftcatid=279&amp;subcatid=276" TargetMode="External"/><Relationship Id="rId26" Type="http://schemas.openxmlformats.org/officeDocument/2006/relationships/hyperlink" Target="https://epms.ppra.gov.pk/public/evaluations?page=1" TargetMode="External"/><Relationship Id="rId27" Type="http://schemas.openxmlformats.org/officeDocument/2006/relationships/hyperlink" Target="https://epms.ppra.gov.pk/public/contracts?page=1" TargetMode="External"/><Relationship Id="rId28" Type="http://schemas.openxmlformats.org/officeDocument/2006/relationships/hyperlink" Target="https://pid.gov.pk/site/press_detail/33638" TargetMode="External"/><Relationship Id="rId29" Type="http://schemas.openxmlformats.org/officeDocument/2006/relationships/hyperlink" Target="https://www.google.com/about/careers/applications/jobs/results?location=Pakistan" TargetMode="External"/><Relationship Id="rId30" Type="http://schemas.openxmlformats.org/officeDocument/2006/relationships/hyperlink" Target="https://about.google/company-info/locations/" TargetMode="External"/><Relationship Id="rId31" Type="http://schemas.openxmlformats.org/officeDocument/2006/relationships/hyperlink" Target="https://cloud.google.com/about/locations" TargetMode="External"/><Relationship Id="rId32" Type="http://schemas.openxmlformats.org/officeDocument/2006/relationships/hyperlink" Target="https://datacenters.google/lo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AI Policy &amp; Infrastructure Daily Brief — 29 August 2026</dc:title>
  <dc:subject>Evidence-based daily monitoring of Pakistan AI policy, data regulation and digital infrastructure</dc:subject>
  <dc:creator>Pakistan AI Policy Monitor</dc:creator>
  <cp:keywords>Pakistan, artificial intelligence, data protection, cybersecurity, cloud, data center, policy, infrastructure</cp:keywords>
  <dc:description>generated by python-docx</dc:description>
  <cp:lastModifiedBy/>
  <cp:revision>1</cp:revision>
  <dcterms:created xsi:type="dcterms:W3CDTF">2013-12-23T23:15:00Z</dcterms:created>
  <dcterms:modified xsi:type="dcterms:W3CDTF">2013-12-23T23:15:00Z</dcterms:modified>
  <cp:category/>
</cp:coreProperties>
</file>