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color w:val="2E74B5"/>
          <w:sz w:val="20"/>
        </w:rPr>
        <w:t>PAKISTAN AI POLICY &amp; INFRASTRUCTURE</w:t>
      </w:r>
    </w:p>
    <w:p>
      <w:pPr>
        <w:spacing w:after="80"/>
      </w:pPr>
      <w:r>
        <w:rPr>
          <w:b/>
          <w:color w:val="0B2545"/>
          <w:sz w:val="46"/>
        </w:rPr>
        <w:t>Daily Brief — 31 August 2026</w:t>
      </w:r>
    </w:p>
    <w:p>
      <w:pPr>
        <w:spacing w:after="280"/>
      </w:pPr>
      <w:r>
        <w:rPr>
          <w:i/>
          <w:color w:val="5F6B76"/>
          <w:sz w:val="26"/>
        </w:rPr>
        <w:t>Strict-delta update from the prior briefing cutoff</w:t>
      </w:r>
    </w:p>
    <w:p>
      <w:pPr>
        <w:spacing w:after="40"/>
      </w:pPr>
      <w:r>
        <w:rPr>
          <w:b/>
          <w:color w:val="0B2545"/>
        </w:rPr>
        <w:t xml:space="preserve">Research window: </w:t>
      </w:r>
      <w:r>
        <w:t>Approximately 14:36-14:55 UTC / 19:36-19:55 PKT on 31 August 2026</w:t>
      </w:r>
    </w:p>
    <w:p>
      <w:pPr>
        <w:spacing w:after="40"/>
      </w:pPr>
      <w:r>
        <w:rPr>
          <w:b/>
          <w:color w:val="0B2545"/>
        </w:rPr>
        <w:t xml:space="preserve">Prepared for: </w:t>
      </w:r>
      <w:r>
        <w:t>Omar Zafar</w:t>
      </w:r>
    </w:p>
    <w:p>
      <w:pPr>
        <w:spacing w:after="40"/>
      </w:pPr>
      <w:r>
        <w:rPr>
          <w:b/>
          <w:color w:val="0B2545"/>
        </w:rPr>
        <w:t xml:space="preserve">Assessment: </w:t>
      </w:r>
      <w:r>
        <w:t>No material post-cutoff policy, implementation, award, financing, or infrastructure milestone authenticated</w:t>
      </w:r>
    </w:p>
    <w:p>
      <w:pPr>
        <w:spacing w:after="40"/>
      </w:pPr>
      <w:r>
        <w:rPr>
          <w:b/>
          <w:color w:val="0B2545"/>
        </w:rPr>
        <w:t xml:space="preserve">Method: </w:t>
      </w:r>
      <w:r>
        <w:t>Primary-source checks, live public registers, targeted current-web search, deduplication against the rolling monitor</w:t>
      </w:r>
    </w:p>
    <w:p>
      <w:pPr>
        <w:spacing w:before="200" w:after="200"/>
        <w:pBdr>
          <w:bottom w:val="single" w:sz="12" w:space="1" w:color="2E74B5"/>
        </w:pBdr>
      </w:pPr>
    </w:p>
    <w:p>
      <w:pPr>
        <w:pStyle w:val="Heading1"/>
      </w:pPr>
      <w:r>
        <w:t>1. Executive summary</w:t>
      </w:r>
    </w:p>
    <w:p>
      <w:pPr>
        <w:pStyle w:val="ListBullet"/>
      </w:pPr>
      <w:r>
        <w:rPr>
          <w:b/>
        </w:rPr>
        <w:t>No material post-cutoff development was authenticated.</w:t>
      </w:r>
      <w:r>
        <w:t xml:space="preserve"> No AI or data law, policy approval, implementation notice, regulator decision, grant, award, contract, financing close, commissioning event, capacity activation, or measured program result was verified after approximately 19:36 PKT.</w:t>
      </w:r>
    </w:p>
    <w:p>
      <w:pPr>
        <w:pStyle w:val="ListBullet"/>
      </w:pPr>
      <w:r>
        <w:rPr>
          <w:b/>
        </w:rPr>
        <w:t>PPRA register-only movement requires caution.</w:t>
      </w:r>
      <w:r>
        <w:t xml:space="preserve"> The active/recent tender count rose from 1,736 to 1,748 and evaluations from 2,895 to 2,900; contracts remained 549 and procurement plans 145. PPRA shows calendar dates, not upload times, and the visible top records do not establish which entries caused the movement.</w:t>
      </w:r>
    </w:p>
    <w:p>
      <w:pPr>
        <w:pStyle w:val="ListBullet"/>
      </w:pPr>
      <w:r>
        <w:rPr>
          <w:b/>
        </w:rPr>
        <w:t>The legal baseline is unchanged.</w:t>
      </w:r>
      <w:r>
        <w:t xml:space="preserve"> The National AI Policy remains approved; the Data Governance Policy 2026 remains a draft in finalization; no horizontal personal-data statute was verified in force; DNP/WASL publications remain pilot or working-draft material.</w:t>
      </w:r>
    </w:p>
    <w:p>
      <w:pPr>
        <w:pStyle w:val="ListBullet"/>
      </w:pPr>
      <w:r>
        <w:rPr>
          <w:b/>
        </w:rPr>
        <w:t>Cyber and sector regulation are unchanged.</w:t>
      </w:r>
      <w:r>
        <w:t xml:space="preserve"> PKCERT remains topped by Advisory 17 and PVARA still lists the two virtual-asset regulations notified on 21 August 2026.</w:t>
      </w:r>
    </w:p>
    <w:p>
      <w:pPr>
        <w:pStyle w:val="ListBullet"/>
      </w:pPr>
      <w:r>
        <w:rPr>
          <w:b/>
        </w:rPr>
        <w:t>Infrastructure remains at procurement or announced-plan stages.</w:t>
      </w:r>
      <w:r>
        <w:t xml:space="preserve"> AI Hubs closed at 14:00 PKT without a public opening, bidder, evaluation, award, or contract trail; the Sovereign National AI Infrastructure RFP remains open to 21 September.</w:t>
      </w:r>
    </w:p>
    <w:p>
      <w:pPr>
        <w:pStyle w:val="Heading1"/>
      </w:pPr>
      <w:r>
        <w:t>2. Policy, regulation, and governance</w:t>
      </w:r>
    </w:p>
    <w:p>
      <w:pPr>
        <w:keepLines/>
      </w:pPr>
      <w:r>
        <w:rPr>
          <w:b/>
          <w:color w:val="0B2545"/>
        </w:rPr>
        <w:t>National AI Policy 2025.</w:t>
      </w:r>
      <w:r>
        <w:t xml:space="preserve">  Status: Approved; implementation instruments not newly evidenced. Institution/location: Ministry of Information Technology and Telecommunication (MoITT), federal. Evidence: MoITT continues to list the policy as approved; no post-cutoff council notification, directorate order, fund instrument, master plan, action matrix, public-sector AI register, audit framework, or high-impact assessment rule surfaced. </w:t>
      </w:r>
      <w:r>
        <w:rPr>
          <w:b/>
        </w:rPr>
        <w:t xml:space="preserve">What changed: No status change since the prior briefing. </w:t>
      </w:r>
      <w:r>
        <w:t xml:space="preserve">Why it matters: The policy contains ambitious governance and delivery commitments, but operational authority, budgets, deadlines, and accountable owners still need separate instruments before stakeholders can treat targets as implemented </w:t>
      </w:r>
      <w:r>
        <w:rPr>
          <w:b/>
        </w:rPr>
        <w:t>Confidence: High for the displayed approval state; medium for exhaustive absence of later instruments.</w:t>
      </w:r>
    </w:p>
    <w:p>
      <w:pPr>
        <w:keepLines/>
      </w:pPr>
      <w:r>
        <w:rPr>
          <w:b/>
          <w:color w:val="0B2545"/>
        </w:rPr>
        <w:t>Federal legislative register.</w:t>
      </w:r>
      <w:r>
        <w:t xml:space="preserve">  Status: No new in-scope Act authenticated. Institution/location: National Assembly of Pakistan. Evidence: At the checkpoint, the Acts page said it was last updated 31 August 2026 at 6:18 PM PKT and remained topped by two Acts dated 20 August; neither concerns AI, data protection, cybersecurity, telecom, cloud, or digital infrastructure. </w:t>
      </w:r>
      <w:r>
        <w:rPr>
          <w:b/>
        </w:rPr>
        <w:t xml:space="preserve">What changed: The displayed update time and top entries were unchanged from the prior briefing. </w:t>
      </w:r>
      <w:r>
        <w:t xml:space="preserve">Why it matters: A finalized or announced bill is not an enacted statute. Companies and public bodies should continue to distinguish policy documents, drafts, parliamentary material, assent, gazette publication, and commencement </w:t>
      </w:r>
      <w:r>
        <w:rPr>
          <w:b/>
        </w:rPr>
        <w:t>Confidence: High.</w:t>
      </w:r>
    </w:p>
    <w:p>
      <w:pPr>
        <w:pStyle w:val="Heading1"/>
      </w:pPr>
      <w:r>
        <w:t>3. Data regulation, digital policy, and cybersecurity</w:t>
      </w:r>
    </w:p>
    <w:p>
      <w:pPr>
        <w:keepLines/>
      </w:pPr>
      <w:r>
        <w:rPr>
          <w:b/>
          <w:color w:val="0B2545"/>
        </w:rPr>
        <w:t>National Data Governance Policy 2026.</w:t>
      </w:r>
      <w:r>
        <w:t xml:space="preserve">  Status: Draft; consultation concluded and finalization announced. Institution/location: Pakistan Digital Authority (PDA) and MoITT, Islamabad. Evidence: PDA said on 5 August that consultation had concluded, feedback would be incorporated, and a phased implementation plan would accompany finalization. No final or notified policy was located in the post-cutoff check. </w:t>
      </w:r>
      <w:r>
        <w:rPr>
          <w:b/>
        </w:rPr>
        <w:t xml:space="preserve">What changed: No change. </w:t>
      </w:r>
      <w:r>
        <w:t xml:space="preserve">Why it matters: The draft concerns government-data stewardship and exchange, not a verified horizontal private-sector privacy statute. Procurement and deployment contracts should still specify lawful authority or consent, purpose limits, minimization, roles, hosting and transfers, subprocessors, retention and deletion, security, incident response, audit, redress, portability, and exit </w:t>
      </w:r>
      <w:r>
        <w:rPr>
          <w:b/>
        </w:rPr>
        <w:t>Confidence: High for draft/finalization status; medium for exhaustive absence of a later notice.</w:t>
      </w:r>
    </w:p>
    <w:p>
      <w:pPr>
        <w:keepLines/>
      </w:pPr>
      <w:r>
        <w:rPr>
          <w:b/>
          <w:color w:val="0B2545"/>
        </w:rPr>
        <w:t>Personal-data protection.</w:t>
      </w:r>
      <w:r>
        <w:t xml:space="preserve">  Status: No horizontal personal-data law verified in force. Institution/location: Federal government and Parliament. Evidence: The live Acts register showed no personal-data protection Act. No gazette, commencement notice, or regulator instrument was authenticated during the window. </w:t>
      </w:r>
      <w:r>
        <w:rPr>
          <w:b/>
        </w:rPr>
        <w:t xml:space="preserve">What changed: No change. </w:t>
      </w:r>
      <w:r>
        <w:t xml:space="preserve">Why it matters: Claims that legislation has been finalized or described in an official answer do not create enforceable rights or obligations. Cross-border transfer, localization, breach, children's data, and regulator powers therefore remain legally uncertain at the horizontal level </w:t>
      </w:r>
      <w:r>
        <w:rPr>
          <w:b/>
        </w:rPr>
        <w:t>Confidence: High for the Acts-register check; medium for comprehensive national absence because gazette and ministry publication can lag.</w:t>
      </w:r>
    </w:p>
    <w:p>
      <w:pPr>
        <w:keepLines/>
      </w:pPr>
      <w:r>
        <w:rPr>
          <w:b/>
          <w:color w:val="0B2545"/>
        </w:rPr>
        <w:t>DNP/WASL standards.</w:t>
      </w:r>
      <w:r>
        <w:t xml:space="preserve">  Status: Pilot and working-draft framework; not shown as final generally binding standards. Institution/location: PDA and NADRA-linked national data exchange architecture. Evidence: The accessible standards material continued to identify the framework and technical documents as pilot or working draft; no post-cutoff standards-board adoption or binding participation instrument was verified. </w:t>
      </w:r>
      <w:r>
        <w:rPr>
          <w:b/>
        </w:rPr>
        <w:t xml:space="preserve">What changed: No change. </w:t>
      </w:r>
      <w:r>
        <w:t xml:space="preserve">Why it matters: Implementers should treat the materials as architecture and control design inputs while separately establishing actual legal authority, consent, responsibility, auditability, and redress for each exchange </w:t>
      </w:r>
      <w:r>
        <w:rPr>
          <w:b/>
        </w:rPr>
        <w:t>Confidence: High for displayed document labels; medium for completeness of the register snapshot.</w:t>
      </w:r>
    </w:p>
    <w:p>
      <w:pPr>
        <w:keepLines/>
      </w:pPr>
      <w:r>
        <w:rPr>
          <w:b/>
          <w:color w:val="0B2545"/>
        </w:rPr>
        <w:t>Cybersecurity advisories.</w:t>
      </w:r>
      <w:r>
        <w:t xml:space="preserve">  Status: Operational guidance; no new advisory authenticated. Institution/location: National CERT (PKCERT), Islamabad. Evidence: PKCERT's 2026 advisory list remained topped by Advisory 17, concerning an Adobe Acrobat Chrome extension vulnerability exposing WhatsApp Web sessions. </w:t>
      </w:r>
      <w:r>
        <w:rPr>
          <w:b/>
        </w:rPr>
        <w:t xml:space="preserve">What changed: No Advisory 18 appeared. </w:t>
      </w:r>
      <w:r>
        <w:t xml:space="preserve">Why it matters: Regulated and public-sector operators should continue vulnerability and incident-response work, but an advisory is not a statutory rule or proof of remediation </w:t>
      </w:r>
      <w:r>
        <w:rPr>
          <w:b/>
        </w:rPr>
        <w:t>Confidence: High.</w:t>
      </w:r>
    </w:p>
    <w:p>
      <w:pPr>
        <w:keepLines/>
      </w:pPr>
      <w:r>
        <w:rPr>
          <w:b/>
          <w:color w:val="0B2545"/>
        </w:rPr>
        <w:t>Virtual-asset data and security duties.</w:t>
      </w:r>
      <w:r>
        <w:t xml:space="preserve">  Status: Sector regulations notified; unchanged. Institution/location: Pakistan Virtual Assets Regulatory Authority (PVARA), federal. Evidence: PVARA continued to list the Pakistan Virtual Asset Services Regulations 2026 and activity-specific regulations, both notified 21 August as S.R.O. 1419(I)/2026 and 1420(I)/2026. Its public page describes KYC, monitoring, ten-year records, suspicious-activity reporting, sanctions screening, and data security. </w:t>
      </w:r>
      <w:r>
        <w:rPr>
          <w:b/>
        </w:rPr>
        <w:t xml:space="preserve">What changed: No new circular, deadline change, enforcement action, or licensing outcome surfaced. </w:t>
      </w:r>
      <w:r>
        <w:t xml:space="preserve">Why it matters: These are sector-specific obligations for covered VASPs and should not be misread as a general personal-data regime </w:t>
      </w:r>
      <w:r>
        <w:rPr>
          <w:b/>
        </w:rPr>
        <w:t>Confidence: High for listed instruments; medium for absence of later enforcement activity.</w:t>
      </w:r>
    </w:p>
    <w:p>
      <w:pPr>
        <w:pStyle w:val="Heading1"/>
      </w:pPr>
      <w:r>
        <w:t>4. AI and digital infrastructure</w:t>
      </w:r>
    </w:p>
    <w:p>
      <w:pPr>
        <w:pStyle w:val="SourceText"/>
      </w:pPr>
      <w:r>
        <w:t>Live procurement snapshot at approximately 19:55 PKT. The movements are register observations, not proof that all added records were uploaded after the prior cutoff.</w:t>
      </w:r>
    </w:p>
    <w:tbl>
      <w:tblPr>
        <w:tblStyle w:val="TableGrid"/>
        <w:tblW w:type="dxa" w:w="9360"/>
        <w:tblLayout w:type="fixed"/>
        <w:tblLook w:firstColumn="1" w:firstRow="1" w:lastColumn="0" w:lastRow="0" w:noHBand="0" w:noVBand="1" w:val="04A0"/>
        <w:tblInd w:w="120" w:type="dxa"/>
      </w:tblPr>
      <w:tblGrid>
        <w:gridCol w:w="2700"/>
        <w:gridCol w:w="1200"/>
        <w:gridCol w:w="1200"/>
        <w:gridCol w:w="4260"/>
      </w:tblGrid>
      <w:tr>
        <w:trPr>
          <w:tblHeader w:val="true"/>
        </w:trPr>
        <w:tc>
          <w:tcPr>
            <w:tcW w:type="dxa" w:w="2700"/>
            <w:shd w:fill="F2F4F7"/>
            <w:tcMar>
              <w:top w:w="80" w:type="dxa"/>
              <w:start w:w="120" w:type="dxa"/>
              <w:bottom w:w="80" w:type="dxa"/>
              <w:end w:w="120" w:type="dxa"/>
            </w:tcMar>
            <w:vAlign w:val="center"/>
          </w:tcPr>
          <w:p>
            <w:r>
              <w:rPr>
                <w:b/>
                <w:color w:val="0B2545"/>
              </w:rPr>
              <w:t>Register</w:t>
            </w:r>
          </w:p>
        </w:tc>
        <w:tc>
          <w:tcPr>
            <w:tcW w:type="dxa" w:w="1200"/>
            <w:shd w:fill="F2F4F7"/>
            <w:tcMar>
              <w:top w:w="80" w:type="dxa"/>
              <w:start w:w="120" w:type="dxa"/>
              <w:bottom w:w="80" w:type="dxa"/>
              <w:end w:w="120" w:type="dxa"/>
            </w:tcMar>
            <w:vAlign w:val="center"/>
          </w:tcPr>
          <w:p>
            <w:r>
              <w:rPr>
                <w:b/>
                <w:color w:val="0B2545"/>
              </w:rPr>
              <w:t>Prior</w:t>
            </w:r>
          </w:p>
        </w:tc>
        <w:tc>
          <w:tcPr>
            <w:tcW w:type="dxa" w:w="1200"/>
            <w:shd w:fill="F2F4F7"/>
            <w:tcMar>
              <w:top w:w="80" w:type="dxa"/>
              <w:start w:w="120" w:type="dxa"/>
              <w:bottom w:w="80" w:type="dxa"/>
              <w:end w:w="120" w:type="dxa"/>
            </w:tcMar>
            <w:vAlign w:val="center"/>
          </w:tcPr>
          <w:p>
            <w:r>
              <w:rPr>
                <w:b/>
                <w:color w:val="0B2545"/>
              </w:rPr>
              <w:t>Current</w:t>
            </w:r>
          </w:p>
        </w:tc>
        <w:tc>
          <w:tcPr>
            <w:tcW w:type="dxa" w:w="4260"/>
            <w:shd w:fill="F2F4F7"/>
            <w:tcMar>
              <w:top w:w="80" w:type="dxa"/>
              <w:start w:w="120" w:type="dxa"/>
              <w:bottom w:w="80" w:type="dxa"/>
              <w:end w:w="120" w:type="dxa"/>
            </w:tcMar>
            <w:vAlign w:val="center"/>
          </w:tcPr>
          <w:p>
            <w:r>
              <w:rPr>
                <w:b/>
                <w:color w:val="0B2545"/>
              </w:rPr>
              <w:t>Assessment</w:t>
            </w:r>
          </w:p>
        </w:tc>
      </w:tr>
      <w:tr>
        <w:tc>
          <w:tcPr>
            <w:tcW w:type="dxa" w:w="2700"/>
            <w:tcMar>
              <w:top w:w="80" w:type="dxa"/>
              <w:start w:w="120" w:type="dxa"/>
              <w:bottom w:w="80" w:type="dxa"/>
              <w:end w:w="120" w:type="dxa"/>
            </w:tcMar>
            <w:vAlign w:val="center"/>
          </w:tcPr>
          <w:p>
            <w:r>
              <w:t>Active/recent tenders</w:t>
            </w:r>
          </w:p>
        </w:tc>
        <w:tc>
          <w:tcPr>
            <w:tcW w:type="dxa" w:w="1200"/>
            <w:tcMar>
              <w:top w:w="80" w:type="dxa"/>
              <w:start w:w="120" w:type="dxa"/>
              <w:bottom w:w="80" w:type="dxa"/>
              <w:end w:w="120" w:type="dxa"/>
            </w:tcMar>
            <w:vAlign w:val="center"/>
          </w:tcPr>
          <w:p>
            <w:pPr>
              <w:jc w:val="center"/>
            </w:pPr>
            <w:r>
              <w:t>1,736</w:t>
            </w:r>
          </w:p>
        </w:tc>
        <w:tc>
          <w:tcPr>
            <w:tcW w:type="dxa" w:w="1200"/>
            <w:tcMar>
              <w:top w:w="80" w:type="dxa"/>
              <w:start w:w="120" w:type="dxa"/>
              <w:bottom w:w="80" w:type="dxa"/>
              <w:end w:w="120" w:type="dxa"/>
            </w:tcMar>
            <w:vAlign w:val="center"/>
          </w:tcPr>
          <w:p>
            <w:pPr>
              <w:jc w:val="center"/>
            </w:pPr>
            <w:r>
              <w:t>1,748</w:t>
            </w:r>
          </w:p>
        </w:tc>
        <w:tc>
          <w:tcPr>
            <w:tcW w:type="dxa" w:w="4260"/>
            <w:tcMar>
              <w:top w:w="80" w:type="dxa"/>
              <w:start w:w="120" w:type="dxa"/>
              <w:bottom w:w="80" w:type="dxa"/>
              <w:end w:w="120" w:type="dxa"/>
            </w:tcMar>
            <w:vAlign w:val="center"/>
          </w:tcPr>
          <w:p>
            <w:r>
              <w:t>+12; exact titles/times unresolved</w:t>
            </w:r>
          </w:p>
        </w:tc>
      </w:tr>
      <w:tr>
        <w:tc>
          <w:tcPr>
            <w:tcW w:type="dxa" w:w="2700"/>
            <w:tcMar>
              <w:top w:w="80" w:type="dxa"/>
              <w:start w:w="120" w:type="dxa"/>
              <w:bottom w:w="80" w:type="dxa"/>
              <w:end w:w="120" w:type="dxa"/>
            </w:tcMar>
            <w:vAlign w:val="center"/>
          </w:tcPr>
          <w:p>
            <w:r>
              <w:t>Evaluations</w:t>
            </w:r>
          </w:p>
        </w:tc>
        <w:tc>
          <w:tcPr>
            <w:tcW w:type="dxa" w:w="1200"/>
            <w:tcMar>
              <w:top w:w="80" w:type="dxa"/>
              <w:start w:w="120" w:type="dxa"/>
              <w:bottom w:w="80" w:type="dxa"/>
              <w:end w:w="120" w:type="dxa"/>
            </w:tcMar>
            <w:vAlign w:val="center"/>
          </w:tcPr>
          <w:p>
            <w:pPr>
              <w:jc w:val="center"/>
            </w:pPr>
            <w:r>
              <w:t>2,895</w:t>
            </w:r>
          </w:p>
        </w:tc>
        <w:tc>
          <w:tcPr>
            <w:tcW w:type="dxa" w:w="1200"/>
            <w:tcMar>
              <w:top w:w="80" w:type="dxa"/>
              <w:start w:w="120" w:type="dxa"/>
              <w:bottom w:w="80" w:type="dxa"/>
              <w:end w:w="120" w:type="dxa"/>
            </w:tcMar>
            <w:vAlign w:val="center"/>
          </w:tcPr>
          <w:p>
            <w:pPr>
              <w:jc w:val="center"/>
            </w:pPr>
            <w:r>
              <w:t>2,900</w:t>
            </w:r>
          </w:p>
        </w:tc>
        <w:tc>
          <w:tcPr>
            <w:tcW w:type="dxa" w:w="4260"/>
            <w:tcMar>
              <w:top w:w="80" w:type="dxa"/>
              <w:start w:w="120" w:type="dxa"/>
              <w:bottom w:w="80" w:type="dxa"/>
              <w:end w:w="120" w:type="dxa"/>
            </w:tcMar>
            <w:vAlign w:val="center"/>
          </w:tcPr>
          <w:p>
            <w:r>
              <w:t>+5; visible lead records unchanged</w:t>
            </w:r>
          </w:p>
        </w:tc>
      </w:tr>
      <w:tr>
        <w:tc>
          <w:tcPr>
            <w:tcW w:type="dxa" w:w="2700"/>
            <w:tcMar>
              <w:top w:w="80" w:type="dxa"/>
              <w:start w:w="120" w:type="dxa"/>
              <w:bottom w:w="80" w:type="dxa"/>
              <w:end w:w="120" w:type="dxa"/>
            </w:tcMar>
            <w:vAlign w:val="center"/>
          </w:tcPr>
          <w:p>
            <w:r>
              <w:t>Contracts</w:t>
            </w:r>
          </w:p>
        </w:tc>
        <w:tc>
          <w:tcPr>
            <w:tcW w:type="dxa" w:w="1200"/>
            <w:tcMar>
              <w:top w:w="80" w:type="dxa"/>
              <w:start w:w="120" w:type="dxa"/>
              <w:bottom w:w="80" w:type="dxa"/>
              <w:end w:w="120" w:type="dxa"/>
            </w:tcMar>
            <w:vAlign w:val="center"/>
          </w:tcPr>
          <w:p>
            <w:pPr>
              <w:jc w:val="center"/>
            </w:pPr>
            <w:r>
              <w:t>549</w:t>
            </w:r>
          </w:p>
        </w:tc>
        <w:tc>
          <w:tcPr>
            <w:tcW w:type="dxa" w:w="1200"/>
            <w:tcMar>
              <w:top w:w="80" w:type="dxa"/>
              <w:start w:w="120" w:type="dxa"/>
              <w:bottom w:w="80" w:type="dxa"/>
              <w:end w:w="120" w:type="dxa"/>
            </w:tcMar>
            <w:vAlign w:val="center"/>
          </w:tcPr>
          <w:p>
            <w:pPr>
              <w:jc w:val="center"/>
            </w:pPr>
            <w:r>
              <w:t>549</w:t>
            </w:r>
          </w:p>
        </w:tc>
        <w:tc>
          <w:tcPr>
            <w:tcW w:type="dxa" w:w="4260"/>
            <w:tcMar>
              <w:top w:w="80" w:type="dxa"/>
              <w:start w:w="120" w:type="dxa"/>
              <w:bottom w:w="80" w:type="dxa"/>
              <w:end w:w="120" w:type="dxa"/>
            </w:tcMar>
            <w:vAlign w:val="center"/>
          </w:tcPr>
          <w:p>
            <w:r>
              <w:t>No movement</w:t>
            </w:r>
          </w:p>
        </w:tc>
      </w:tr>
      <w:tr>
        <w:tc>
          <w:tcPr>
            <w:tcW w:type="dxa" w:w="2700"/>
            <w:tcMar>
              <w:top w:w="80" w:type="dxa"/>
              <w:start w:w="120" w:type="dxa"/>
              <w:bottom w:w="80" w:type="dxa"/>
              <w:end w:w="120" w:type="dxa"/>
            </w:tcMar>
            <w:vAlign w:val="center"/>
          </w:tcPr>
          <w:p>
            <w:r>
              <w:t>Procurement plans</w:t>
            </w:r>
          </w:p>
        </w:tc>
        <w:tc>
          <w:tcPr>
            <w:tcW w:type="dxa" w:w="1200"/>
            <w:tcMar>
              <w:top w:w="80" w:type="dxa"/>
              <w:start w:w="120" w:type="dxa"/>
              <w:bottom w:w="80" w:type="dxa"/>
              <w:end w:w="120" w:type="dxa"/>
            </w:tcMar>
            <w:vAlign w:val="center"/>
          </w:tcPr>
          <w:p>
            <w:pPr>
              <w:jc w:val="center"/>
            </w:pPr>
            <w:r>
              <w:t>145</w:t>
            </w:r>
          </w:p>
        </w:tc>
        <w:tc>
          <w:tcPr>
            <w:tcW w:type="dxa" w:w="1200"/>
            <w:tcMar>
              <w:top w:w="80" w:type="dxa"/>
              <w:start w:w="120" w:type="dxa"/>
              <w:bottom w:w="80" w:type="dxa"/>
              <w:end w:w="120" w:type="dxa"/>
            </w:tcMar>
            <w:vAlign w:val="center"/>
          </w:tcPr>
          <w:p>
            <w:pPr>
              <w:jc w:val="center"/>
            </w:pPr>
            <w:r>
              <w:t>145</w:t>
            </w:r>
          </w:p>
        </w:tc>
        <w:tc>
          <w:tcPr>
            <w:tcW w:type="dxa" w:w="4260"/>
            <w:tcMar>
              <w:top w:w="80" w:type="dxa"/>
              <w:start w:w="120" w:type="dxa"/>
              <w:bottom w:w="80" w:type="dxa"/>
              <w:end w:w="120" w:type="dxa"/>
            </w:tcMar>
            <w:vAlign w:val="center"/>
          </w:tcPr>
          <w:p>
            <w:r>
              <w:t>No movement</w:t>
            </w:r>
          </w:p>
        </w:tc>
      </w:tr>
    </w:tbl>
    <w:p>
      <w:pPr>
        <w:keepLines/>
      </w:pPr>
      <w:r>
        <w:rPr>
          <w:b/>
          <w:color w:val="0B2545"/>
        </w:rPr>
        <w:t>National AI Hubs procurement (TS0000010287E).</w:t>
      </w:r>
      <w:r>
        <w:t xml:space="preserve">  Status: Closed; public workflow remains pre-evaluation. Institution/location: MoITT Digital Emerging Tech, Islamabad; nationwide intended scope. Evidence: PPRA shows an 18 August advertisement, 31 August 14:00 PKT closing, 14:30 opening time, single-stage two-envelope process, and Rs3 million bid security. The public detail page displayed no bidder/opening record, technical evaluation, grievance result, financial opening, award, or contract. </w:t>
      </w:r>
      <w:r>
        <w:rPr>
          <w:b/>
        </w:rPr>
        <w:t xml:space="preserve">What changed: The deadline passed before the prior cutoff; no subsequent workflow milestone appeared. </w:t>
      </w:r>
      <w:r>
        <w:t xml:space="preserve">Why it matters: A closed tender is not a delivered hub. Capacity, sites, operators, accelerators, access rules, power, cooling, fibre, security certification, commissioning, and utilization remain unverified </w:t>
      </w:r>
      <w:r>
        <w:rPr>
          <w:b/>
        </w:rPr>
        <w:t>Confidence: High for tender dates and displayed workflow; medium for absence of a later record because PPRA updates can lag.</w:t>
      </w:r>
    </w:p>
    <w:p>
      <w:pPr>
        <w:keepLines/>
      </w:pPr>
      <w:r>
        <w:rPr>
          <w:b/>
          <w:color w:val="0B2545"/>
        </w:rPr>
        <w:t>Sovereign National AI Infrastructure (TS0000010170E).</w:t>
      </w:r>
      <w:r>
        <w:t xml:space="preserve">  Status: Tendered; pre-award. Institution/location: Ignite National Technology Fund, Islamabad. Evidence: PPRA describes services for design, deployment, operation, and maintenance under the National AI Innovation Hub, with a 21 September 2026 15:00 PKT closing time, Rs2 million bid security, and 360-day bid validity. </w:t>
      </w:r>
      <w:r>
        <w:rPr>
          <w:b/>
        </w:rPr>
        <w:t xml:space="preserve">What changed: No change. </w:t>
      </w:r>
      <w:r>
        <w:t xml:space="preserve">Why it matters: The procurement signals intent, not installed or allocatable compute. No new accelerator inventory, site, power arrangement, cooling design, fibre diversity, certification, commissioning, PUE/WUE, or utilization evidence was authenticated </w:t>
      </w:r>
      <w:r>
        <w:rPr>
          <w:b/>
        </w:rPr>
        <w:t>Confidence: High.</w:t>
      </w:r>
    </w:p>
    <w:p>
      <w:pPr>
        <w:keepLines/>
      </w:pPr>
      <w:r>
        <w:rPr>
          <w:b/>
          <w:color w:val="0B2545"/>
        </w:rPr>
        <w:t>Compute, cloud, data centres, connectivity, and energy dependencies.</w:t>
      </w:r>
      <w:r>
        <w:t xml:space="preserve">  Status: No new operational milestone authenticated. Institution/location: Federal and provincial public sector; private operators in Pakistan. Evidence: Targeted official and current-web searches found no post-cutoff commissioning, capacity activation, cloud-region launch, data-centre energization, fibre activation, spectrum/telecom decision, power allocation, PPA, backup-runtime test, or cooling/water milestone. </w:t>
      </w:r>
      <w:r>
        <w:rPr>
          <w:b/>
        </w:rPr>
        <w:t xml:space="preserve">What changed: No change. </w:t>
      </w:r>
      <w:r>
        <w:t xml:space="preserve">Why it matters: Announcements and procurement records do not establish usable capacity. Decision-grade infrastructure claims require named sites/operators, commissioned IT load, accelerators, allocatable capacity, power feeds and tariffs, backup, cooling and water, fibre routes, security certification, and operating metrics </w:t>
      </w:r>
      <w:r>
        <w:rPr>
          <w:b/>
        </w:rPr>
        <w:t>Confidence: Medium.</w:t>
      </w:r>
    </w:p>
    <w:p>
      <w:pPr>
        <w:pStyle w:val="Heading1"/>
      </w:pPr>
      <w:r>
        <w:t>5. Programs, funding, and investment</w:t>
      </w:r>
    </w:p>
    <w:p>
      <w:pPr>
        <w:keepLines/>
      </w:pPr>
      <w:r>
        <w:rPr>
          <w:b/>
          <w:color w:val="0B2545"/>
        </w:rPr>
        <w:t>Pakistan Single Window ISO/IEC 27001:2022 procurement.</w:t>
      </w:r>
      <w:r>
        <w:t xml:space="preserve">  Status: Final evaluation; pre-award. Institution/location: Pakistan Single Window, Ministry of Commerce, Islamabad. Evidence: PPRA continues to show six bids and RICI Pakistan (Private) Limited as lowest evaluated bidder for audit and certification services. </w:t>
      </w:r>
      <w:r>
        <w:rPr>
          <w:b/>
        </w:rPr>
        <w:t xml:space="preserve">What changed: No change after its earlier appearance today; no Rule 35 detail, evaluated prices, award, contract, completed audit, or certificate surfaced. </w:t>
      </w:r>
      <w:r>
        <w:t xml:space="preserve">Why it matters: A lowest-bidder line does not establish award or certification. Scope, accreditation, corrective actions, and certificate issuance remain the meaningful controls </w:t>
      </w:r>
      <w:r>
        <w:rPr>
          <w:b/>
        </w:rPr>
        <w:t>Confidence: High for the evaluation listing; medium for absence of follow-on documents.</w:t>
      </w:r>
    </w:p>
    <w:p>
      <w:pPr>
        <w:keepLines/>
      </w:pPr>
      <w:r>
        <w:rPr>
          <w:b/>
          <w:color w:val="0B2545"/>
        </w:rPr>
        <w:t>PRAL enterprise VDI procurement.</w:t>
      </w:r>
      <w:r>
        <w:t xml:space="preserve">  Status: Final evaluation; pre-award. Institution/location: Pakistan Revenue Automation (Private) Limited, Ministry of Finance, Islamabad. Evidence: PPRA continues to show three bids and ArwenTech as lowest evaluated bidder for procurement, installation, integration, commissioning, and support of an enterprise virtual desktop infrastructure solution. </w:t>
      </w:r>
      <w:r>
        <w:rPr>
          <w:b/>
        </w:rPr>
        <w:t xml:space="preserve">What changed: No change; no contract or commissioned architecture surfaced. </w:t>
      </w:r>
      <w:r>
        <w:t xml:space="preserve">Why it matters: VDI can affect tax-system access, endpoint control, identity, logging, resilience, and data movement; the architecture and contractual security controls matter more than the bidder listing </w:t>
      </w:r>
      <w:r>
        <w:rPr>
          <w:b/>
        </w:rPr>
        <w:t>Confidence: High for the evaluation state; medium for follow-on absence.</w:t>
      </w:r>
    </w:p>
    <w:p>
      <w:pPr>
        <w:keepLines/>
      </w:pPr>
      <w:r>
        <w:rPr>
          <w:b/>
          <w:color w:val="0B2545"/>
        </w:rPr>
        <w:t>Funding, partnerships, and major investment.</w:t>
      </w:r>
      <w:r>
        <w:t xml:space="preserve">  Status: No new realized commitment authenticated. Institution/location: Federal government, provinces, universities, investors, and technology companies. Evidence: No post-cutoff budget release, grant decision, signed delivery instrument, tender award, financing close, realized capital expenditure, construction notice, or measured outcome was verified. </w:t>
      </w:r>
      <w:r>
        <w:rPr>
          <w:b/>
        </w:rPr>
        <w:t xml:space="preserve">What changed: No change. </w:t>
      </w:r>
      <w:r>
        <w:t xml:space="preserve">Why it matters: Previously reported discussions, MoUs, and investment interest should remain classified as exploratory or announced until documents identify counterparties, scope, money, conditions, milestones, and delivery evidence </w:t>
      </w:r>
      <w:r>
        <w:rPr>
          <w:b/>
        </w:rPr>
        <w:t>Confidence: Medium.</w:t>
      </w:r>
    </w:p>
    <w:p>
      <w:pPr>
        <w:pStyle w:val="Heading1"/>
      </w:pPr>
      <w:r>
        <w:t>6. Provincial and local developments</w:t>
      </w:r>
    </w:p>
    <w:p>
      <w:pPr>
        <w:keepLines/>
      </w:pPr>
      <w:r>
        <w:rPr>
          <w:b/>
          <w:color w:val="0B2545"/>
        </w:rPr>
        <w:t>Khyber Pakhtunkhwa - World Bank digital and energy discussions.</w:t>
      </w:r>
      <w:r>
        <w:t xml:space="preserve">  Status: Exploratory/planning-stage; not a post-cutoff event. Institution/location: KP government, Peshawar, with World Bank delegation. Evidence: A DGIPR page published 31 August reports a Friday meeting on digital transformation, AI interventions, KP data-centre infrastructure, hydropower, and transmission. The underlying meeting predates this briefing window, and no financing approval, working-group instrument, site, capacity, procurement, or construction evidence was added after the cutoff. </w:t>
      </w:r>
      <w:r>
        <w:rPr>
          <w:b/>
        </w:rPr>
        <w:t xml:space="preserve">What changed: No strict-window change. </w:t>
      </w:r>
      <w:r>
        <w:t xml:space="preserve">Why it matters: The linkage between data-centre ambition and provincial power/transmission planning is decision-relevant, but implementation depends on an assessment, financing route, site and load design, procurement, and commissioning </w:t>
      </w:r>
      <w:r>
        <w:rPr>
          <w:b/>
        </w:rPr>
        <w:t>Confidence: High for the official report; medium for timing because the page is date-only.</w:t>
      </w:r>
    </w:p>
    <w:p>
      <w:pPr>
        <w:keepLines/>
      </w:pPr>
      <w:r>
        <w:rPr>
          <w:b/>
          <w:color w:val="0B2545"/>
        </w:rPr>
        <w:t>Punjab - Alibaba Cloud and data-centre discussions.</w:t>
      </w:r>
      <w:r>
        <w:t xml:space="preserve">  Status: Reported discussion/MoU; implementation unverified. Institution/location: Punjab government and Alibaba Cloud; Lahore/China engagement. Evidence: 31 August secondary reporting repeated earlier accounts of an MoU and talks about a Pakistan data centre, AI-enabled public services, agriculture, healthcare, climate forecasting, and curriculum activity. No post-cutoff official text, site, capex, capacity, financing, power arrangement, procurement, construction, or commissioning evidence was found. </w:t>
      </w:r>
      <w:r>
        <w:rPr>
          <w:b/>
        </w:rPr>
        <w:t xml:space="preserve">What changed: No strict-window change. </w:t>
      </w:r>
      <w:r>
        <w:t xml:space="preserve">Why it matters: Investors and agencies should not equate interest or an MoU with a committed cloud region, owned data centre, or funded provincial deployment </w:t>
      </w:r>
      <w:r>
        <w:rPr>
          <w:b/>
        </w:rPr>
        <w:t>Confidence: Medium for the discussion; low for any implied delivery or investment commitment.</w:t>
      </w:r>
    </w:p>
    <w:p>
      <w:pPr>
        <w:pStyle w:val="Heading1"/>
      </w:pPr>
      <w:r>
        <w:t>7. What changed / why it matters</w:t>
      </w:r>
    </w:p>
    <w:p>
      <w:pPr>
        <w:pStyle w:val="ListBullet"/>
      </w:pPr>
      <w:r>
        <w:rPr>
          <w:b/>
        </w:rPr>
        <w:t>The only measurable delta is PPRA register volume.</w:t>
      </w:r>
      <w:r>
        <w:t xml:space="preserve"> Because counts rose while the visible leading in-scope records did not materially change, the safe conclusion is “register movement, attribution unresolved,” not “new AI procurement.”</w:t>
      </w:r>
    </w:p>
    <w:p>
      <w:pPr>
        <w:pStyle w:val="ListBullet"/>
      </w:pPr>
      <w:r>
        <w:rPr>
          <w:b/>
        </w:rPr>
        <w:t>Implementation evidence remains the dividing line.</w:t>
      </w:r>
      <w:r>
        <w:t xml:space="preserve"> AI Hubs and sovereign infrastructure are still procurement-stage; PSW ISO and PRAL VDI are evaluation-stage. None establishes award, delivery, acceptance, certified security, or operational capacity.</w:t>
      </w:r>
    </w:p>
    <w:p>
      <w:pPr>
        <w:pStyle w:val="ListBullet"/>
      </w:pPr>
      <w:r>
        <w:rPr>
          <w:b/>
        </w:rPr>
        <w:t>Data-governance exposure remains contractual and institutional.</w:t>
      </w:r>
      <w:r>
        <w:t xml:space="preserve"> Until an enacted horizontal privacy law and final implementation instruments are authenticated, companies and public bodies need explicit project controls for authority, consent, purpose, transfers, retention, security, audit, human review, and redress.</w:t>
      </w:r>
    </w:p>
    <w:p>
      <w:pPr>
        <w:pStyle w:val="ListBullet"/>
      </w:pPr>
      <w:r>
        <w:rPr>
          <w:b/>
        </w:rPr>
        <w:t>Energy is still an unclosed dependency.</w:t>
      </w:r>
      <w:r>
        <w:t xml:space="preserve"> Any serious compute or data-centre claim should disclose firm power supply, tariff/PPA, redundant feeds, tested backup runtime, cooling and water design, and the relationship between gross facility power and usable IT load.</w:t>
      </w:r>
    </w:p>
    <w:p>
      <w:pPr>
        <w:pStyle w:val="Heading1"/>
      </w:pPr>
      <w:r>
        <w:t>8. Watchlist</w:t>
      </w:r>
    </w:p>
    <w:p>
      <w:pPr>
        <w:pStyle w:val="ListBullet"/>
      </w:pPr>
      <w:r>
        <w:t>AI policy implementation: AI Council and directorate constitutions; Innovation Fund or Venture Fund instruments; master plan and action matrix; public-sector AI register; high-impact assessment, audit, procurement, and redress rules.</w:t>
      </w:r>
    </w:p>
    <w:p>
      <w:pPr>
        <w:pStyle w:val="ListBullet"/>
      </w:pPr>
      <w:r>
        <w:t>Data protection and governance: enacted successor personal-data legislation; final/notified Data Governance Policy; DNP/WASL standards-board decisions, participation regulations, controller/custodian/processor allocation, consent, transfers, retention, incident notification, audit, and citizen redress.</w:t>
      </w:r>
    </w:p>
    <w:p>
      <w:pPr>
        <w:pStyle w:val="ListBullet"/>
      </w:pPr>
      <w:r>
        <w:t>Cyber and digital regulation: PKCERT Advisory 18; telecom/satellite instruments; PVARA licensing and enforcement after early-September deadlines; official legal basis, safeguards, retention, audit, and redress for airport-device searches.</w:t>
      </w:r>
    </w:p>
    <w:p>
      <w:pPr>
        <w:pStyle w:val="ListBullet"/>
      </w:pPr>
      <w:r>
        <w:t>Procurement: identify PPRA records behind the 1,736-to-1,748 tender and 2,895-to-2,900 evaluation movements; AI Hubs bidder/opening/evaluation/grievance/award trail; Sovereign AI changes before and after 21 September; PSW ISO and PRAL VDI awards/contracts.</w:t>
      </w:r>
    </w:p>
    <w:p>
      <w:pPr>
        <w:pStyle w:val="ListBullet"/>
      </w:pPr>
      <w:r>
        <w:t>Infrastructure: verified accelerator inventory and allocatable capacity; sites/operators/workloads; power tariff or PPA; redundant feeds and backup tests; cooling/water; fibre diversity; certifications; commissioning; PUE/WUE and utilization.</w:t>
      </w:r>
    </w:p>
    <w:p>
      <w:pPr>
        <w:pStyle w:val="ListBullet"/>
      </w:pPr>
      <w:r>
        <w:t>Provinces and investment: KP working group, assessment, financing, site and capacity; signed and financed Punjab-Alibaba follow-up; measurable program outputs rather than meetings or MoUs.</w:t>
      </w:r>
    </w:p>
    <w:p>
      <w:pPr>
        <w:pStyle w:val="ListBullet"/>
      </w:pPr>
      <w:r>
        <w:t>Google in Pakistan: canonical premises and address; occupancy/opening evidence; legal, employing, contracting and invoicing entity; headcount and mandate; realized investment; AI-centre delivery; and any local Cloud region or owned data-centre listing. No meaningful update justified a standalone section today.</w:t>
      </w:r>
    </w:p>
    <w:p>
      <w:pPr>
        <w:pStyle w:val="Heading1"/>
      </w:pPr>
      <w:r>
        <w:t>9. Method and limitations</w:t>
      </w:r>
    </w:p>
    <w:p>
      <w:r>
        <w:t>This is a strict-delta briefing. It compares live evidence after the prior cutoff rather than treating every item published on 31 August as newly occurring in this window. Search indexes, government pages, and procurement registers can be asynchronous, mutable, date-only, cached, or publication-lagged. “No material development authenticated” therefore means no qualifying change was evidenced by the final checkpoint; it is not proof that no institution acted privately. Confidence levels measure evidence quality, not importance.</w:t>
      </w:r>
    </w:p>
    <w:p>
      <w:pPr>
        <w:pStyle w:val="Heading1"/>
      </w:pPr>
      <w:r>
        <w:t>10. Sources</w:t>
      </w:r>
    </w:p>
    <w:p>
      <w:pPr>
        <w:pStyle w:val="ListNumber"/>
      </w:pPr>
      <w:hyperlink r:id="rId11">
        <w:r>
          <w:rPr>
            <w:rFonts w:ascii="Calibri" w:hAnsi="Calibri"/>
            <w:color w:val="2E74B5"/>
            <w:u w:val="single"/>
          </w:rPr>
          <w:t>MoITT, “Policies” (live register; accessed 31 August 2026)</w:t>
        </w:r>
      </w:hyperlink>
    </w:p>
    <w:p>
      <w:pPr>
        <w:pStyle w:val="ListNumber"/>
      </w:pPr>
      <w:hyperlink r:id="rId12">
        <w:r>
          <w:rPr>
            <w:rFonts w:ascii="Calibri" w:hAnsi="Calibri"/>
            <w:color w:val="2E74B5"/>
            <w:u w:val="single"/>
          </w:rPr>
          <w:t>MoITT, National Artificial Intelligence Policy (approved policy PDF; cabinet approval reported 30 July 2025)</w:t>
        </w:r>
      </w:hyperlink>
    </w:p>
    <w:p>
      <w:pPr>
        <w:pStyle w:val="ListNumber"/>
      </w:pPr>
      <w:hyperlink r:id="rId13">
        <w:r>
          <w:rPr>
            <w:rFonts w:ascii="Calibri" w:hAnsi="Calibri"/>
            <w:color w:val="2E74B5"/>
            <w:u w:val="single"/>
          </w:rPr>
          <w:t>National Assembly of Pakistan, “Acts of Parliament” (last updated 31 August 2026, 6:18 PM PKT)</w:t>
        </w:r>
      </w:hyperlink>
    </w:p>
    <w:p>
      <w:pPr>
        <w:pStyle w:val="ListNumber"/>
      </w:pPr>
      <w:hyperlink r:id="rId14">
        <w:r>
          <w:rPr>
            <w:rFonts w:ascii="Calibri" w:hAnsi="Calibri"/>
            <w:color w:val="2E74B5"/>
            <w:u w:val="single"/>
          </w:rPr>
          <w:t>Pakistan Digital Authority, “Consultations concluded on the National Data Governance Policy 2026” (5 August 2026)</w:t>
        </w:r>
      </w:hyperlink>
    </w:p>
    <w:p>
      <w:pPr>
        <w:pStyle w:val="ListNumber"/>
      </w:pPr>
      <w:hyperlink r:id="rId15">
        <w:r>
          <w:rPr>
            <w:rFonts w:ascii="Calibri" w:hAnsi="Calibri"/>
            <w:color w:val="2E74B5"/>
            <w:u w:val="single"/>
          </w:rPr>
          <w:t>Digital Nation Pakistan Standards, official register (accessed 31 August 2026)</w:t>
        </w:r>
      </w:hyperlink>
    </w:p>
    <w:p>
      <w:pPr>
        <w:pStyle w:val="ListNumber"/>
      </w:pPr>
      <w:hyperlink r:id="rId16">
        <w:r>
          <w:rPr>
            <w:rFonts w:ascii="Calibri" w:hAnsi="Calibri"/>
            <w:color w:val="2E74B5"/>
            <w:u w:val="single"/>
          </w:rPr>
          <w:t>PKCERT, “Advisories” (2026 list; accessed 31 August 2026)</w:t>
        </w:r>
      </w:hyperlink>
    </w:p>
    <w:p>
      <w:pPr>
        <w:pStyle w:val="ListNumber"/>
      </w:pPr>
      <w:hyperlink r:id="rId17">
        <w:r>
          <w:rPr>
            <w:rFonts w:ascii="Calibri" w:hAnsi="Calibri"/>
            <w:color w:val="2E74B5"/>
            <w:u w:val="single"/>
          </w:rPr>
          <w:t>PVARA, “Regulatory Framework” (instruments notified 21 August 2026; accessed 31 August 2026)</w:t>
        </w:r>
      </w:hyperlink>
    </w:p>
    <w:p>
      <w:pPr>
        <w:pStyle w:val="ListNumber"/>
      </w:pPr>
      <w:hyperlink r:id="rId18">
        <w:r>
          <w:rPr>
            <w:rFonts w:ascii="Calibri" w:hAnsi="Calibri"/>
            <w:color w:val="2E74B5"/>
            <w:u w:val="single"/>
          </w:rPr>
          <w:t>PPRA, “Active Tenders” (live register; accessed 31 August 2026)</w:t>
        </w:r>
      </w:hyperlink>
    </w:p>
    <w:p>
      <w:pPr>
        <w:pStyle w:val="ListNumber"/>
      </w:pPr>
      <w:hyperlink r:id="rId19">
        <w:r>
          <w:rPr>
            <w:rFonts w:ascii="Calibri" w:hAnsi="Calibri"/>
            <w:color w:val="2E74B5"/>
            <w:u w:val="single"/>
          </w:rPr>
          <w:t>PPRA, “Evaluation Results” (live register; accessed 31 August 2026)</w:t>
        </w:r>
      </w:hyperlink>
    </w:p>
    <w:p>
      <w:pPr>
        <w:pStyle w:val="ListNumber"/>
      </w:pPr>
      <w:hyperlink r:id="rId20">
        <w:r>
          <w:rPr>
            <w:rFonts w:ascii="Calibri" w:hAnsi="Calibri"/>
            <w:color w:val="2E74B5"/>
            <w:u w:val="single"/>
          </w:rPr>
          <w:t>PPRA, “Procurement Contracts” (live register; accessed 31 August 2026)</w:t>
        </w:r>
      </w:hyperlink>
    </w:p>
    <w:p>
      <w:pPr>
        <w:pStyle w:val="ListNumber"/>
      </w:pPr>
      <w:hyperlink r:id="rId21">
        <w:r>
          <w:rPr>
            <w:rFonts w:ascii="Calibri" w:hAnsi="Calibri"/>
            <w:color w:val="2E74B5"/>
            <w:u w:val="single"/>
          </w:rPr>
          <w:t>PPRA, “Procurement Plans” (live register; accessed 31 August 2026)</w:t>
        </w:r>
      </w:hyperlink>
    </w:p>
    <w:p>
      <w:pPr>
        <w:pStyle w:val="ListNumber"/>
      </w:pPr>
      <w:hyperlink r:id="rId22">
        <w:r>
          <w:rPr>
            <w:rFonts w:ascii="Calibri" w:hAnsi="Calibri"/>
            <w:color w:val="2E74B5"/>
            <w:u w:val="single"/>
          </w:rPr>
          <w:t>PPRA, National AI Hubs tender TS0000010287E (advertised 18 August 2026)</w:t>
        </w:r>
      </w:hyperlink>
    </w:p>
    <w:p>
      <w:pPr>
        <w:pStyle w:val="ListNumber"/>
      </w:pPr>
      <w:hyperlink r:id="rId23">
        <w:r>
          <w:rPr>
            <w:rFonts w:ascii="Calibri" w:hAnsi="Calibri"/>
            <w:color w:val="2E74B5"/>
            <w:u w:val="single"/>
          </w:rPr>
          <w:t>PPRA, Sovereign National AI Infrastructure tender TS0000010170E (advertised 24 July 2026)</w:t>
        </w:r>
      </w:hyperlink>
    </w:p>
    <w:p>
      <w:pPr>
        <w:pStyle w:val="ListNumber"/>
      </w:pPr>
      <w:hyperlink r:id="rId24">
        <w:r>
          <w:rPr>
            <w:rFonts w:ascii="Calibri" w:hAnsi="Calibri"/>
            <w:color w:val="2E74B5"/>
            <w:u w:val="single"/>
          </w:rPr>
          <w:t>DGIPR Khyber Pakhtunkhwa, World Bank digital infrastructure and energy meeting (published 31 August 2026; meeting described as Friday)</w:t>
        </w:r>
      </w:hyperlink>
    </w:p>
    <w:p>
      <w:pPr>
        <w:pStyle w:val="ListNumber"/>
      </w:pPr>
      <w:hyperlink r:id="rId25">
        <w:r>
          <w:rPr>
            <w:rFonts w:ascii="Calibri" w:hAnsi="Calibri"/>
            <w:color w:val="2E74B5"/>
            <w:u w:val="single"/>
          </w:rPr>
          <w:t>Google, office locations (live directory; accessed 31 August 2026)</w:t>
        </w:r>
      </w:hyperlink>
    </w:p>
    <w:p>
      <w:pPr>
        <w:pStyle w:val="ListNumber"/>
      </w:pPr>
      <w:hyperlink r:id="rId26">
        <w:r>
          <w:rPr>
            <w:rFonts w:ascii="Calibri" w:hAnsi="Calibri"/>
            <w:color w:val="2E74B5"/>
            <w:u w:val="single"/>
          </w:rPr>
          <w:t>Google Cloud, regions and zones (last updated 31 August 2026)</w:t>
        </w:r>
      </w:hyperlink>
    </w:p>
    <w:p>
      <w:pPr>
        <w:pStyle w:val="ListNumber"/>
      </w:pPr>
      <w:hyperlink r:id="rId27">
        <w:r>
          <w:rPr>
            <w:rFonts w:ascii="Calibri" w:hAnsi="Calibri"/>
            <w:color w:val="2E74B5"/>
            <w:u w:val="single"/>
          </w:rPr>
          <w:t>Google Data Centers, locations (live directory; accessed 31 August 2026)</w:t>
        </w:r>
      </w:hyperlink>
    </w:p>
    <w:sectPr w:rsidR="00FC693F" w:rsidRPr="0006063C" w:rsidSect="00034616">
      <w:headerReference w:type="default" r:id="rId9"/>
      <w:footerReference w:type="default" r:id="rId10"/>
      <w:pgSz w:w="12240" w:h="15840"/>
      <w:pgMar w:top="1440" w:right="1440" w:bottom="172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b/>
        <w:color w:val="5F6B76"/>
        <w:sz w:val="18"/>
      </w:rPr>
      <w:t>PAKISTAN AI POLICY MONITOR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spacing w:before="80" w:after="80" w:line="240" w:lineRule="auto"/>
    </w:pPr>
    <w:rPr>
      <w:rFonts w:ascii="Calibri" w:hAnsi="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oitt.gov.pk/Policies" TargetMode="External"/><Relationship Id="rId12" Type="http://schemas.openxmlformats.org/officeDocument/2006/relationships/hyperlink" Target="https://moitt.gov.pk/SiteImage/Misc/files/National%20AI%20Policy.pdf" TargetMode="External"/><Relationship Id="rId13" Type="http://schemas.openxmlformats.org/officeDocument/2006/relationships/hyperlink" Target="https://www.na.gov.pk/en/acts.php" TargetMode="External"/><Relationship Id="rId14" Type="http://schemas.openxmlformats.org/officeDocument/2006/relationships/hyperlink" Target="https://pda.gov.pk/press-details.php?id=pda-dgp-consultation" TargetMode="External"/><Relationship Id="rId15" Type="http://schemas.openxmlformats.org/officeDocument/2006/relationships/hyperlink" Target="https://standards.pda.gov.pk/register.html" TargetMode="External"/><Relationship Id="rId16" Type="http://schemas.openxmlformats.org/officeDocument/2006/relationships/hyperlink" Target="https://pkcert.gov.pk/advisories.asp" TargetMode="External"/><Relationship Id="rId17" Type="http://schemas.openxmlformats.org/officeDocument/2006/relationships/hyperlink" Target="https://www.pvara.gov.pk/regulations" TargetMode="External"/><Relationship Id="rId18" Type="http://schemas.openxmlformats.org/officeDocument/2006/relationships/hyperlink" Target="https://epms.ppra.gov.pk/public/tenders/active-tenders?page=1" TargetMode="External"/><Relationship Id="rId19" Type="http://schemas.openxmlformats.org/officeDocument/2006/relationships/hyperlink" Target="https://epms.ppra.gov.pk/public/evaluations?page=1" TargetMode="External"/><Relationship Id="rId20" Type="http://schemas.openxmlformats.org/officeDocument/2006/relationships/hyperlink" Target="https://epms.ppra.gov.pk/public/contracts?page=1" TargetMode="External"/><Relationship Id="rId21" Type="http://schemas.openxmlformats.org/officeDocument/2006/relationships/hyperlink" Target="https://epms.ppra.gov.pk/public/procurement-plans?page=1" TargetMode="External"/><Relationship Id="rId22" Type="http://schemas.openxmlformats.org/officeDocument/2006/relationships/hyperlink" Target="https://epms.ppra.gov.pk/public/tenders/tender-details/TS0000010287E" TargetMode="External"/><Relationship Id="rId23" Type="http://schemas.openxmlformats.org/officeDocument/2006/relationships/hyperlink" Target="https://epms.ppra.gov.pk/public/tenders/tender-details/TS0000010170E" TargetMode="External"/><Relationship Id="rId24" Type="http://schemas.openxmlformats.org/officeDocument/2006/relationships/hyperlink" Target="https://dgipr.kp.gov.pk/world-bank-delegation-meets-khyber-pakhtunkhwa-government-to-discuss-it-digital-infrastructure-and-energy-initiatives/" TargetMode="External"/><Relationship Id="rId25" Type="http://schemas.openxmlformats.org/officeDocument/2006/relationships/hyperlink" Target="https://about.google/company-info/locations/" TargetMode="External"/><Relationship Id="rId26" Type="http://schemas.openxmlformats.org/officeDocument/2006/relationships/hyperlink" Target="https://cloud.google.com/about/locations" TargetMode="External"/><Relationship Id="rId27" Type="http://schemas.openxmlformats.org/officeDocument/2006/relationships/hyperlink" Target="https://www.datacenters.google/lo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Pakistan AI Policy &amp; Infrastructure Daily Brief — 31 August 2026</dc:title>
  <dc:subject>Strict-delta monitoring of Pakistan AI policy, data regulation, cybersecurity, digital infrastructure, procurement, programs, and investment</dc:subject>
  <dc:creator>Pakistan AI Policy Monitor</dc:creator>
  <cp:keywords>Pakistan, AI policy, data protection, cybersecurity, digital infrastructure, cloud, data centres, procurement</cp:keywords>
  <dc:description>generated by python-docx</dc:description>
  <cp:lastModifiedBy/>
  <cp:revision>1</cp:revision>
  <dcterms:created xsi:type="dcterms:W3CDTF">2013-12-23T23:15:00Z</dcterms:created>
  <dcterms:modified xsi:type="dcterms:W3CDTF">2013-12-23T23:15:00Z</dcterms:modified>
  <cp:category/>
</cp:coreProperties>
</file>