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Pakistan AI Policy &amp; Infrastructure Daily Brief</w:t>
      </w:r>
    </w:p>
    <w:p>
      <w:pPr>
        <w:pStyle w:val="Subtitle"/>
      </w:pPr>
      <w:r>
        <w:t>1 September 2026 | Research cutoff: 16:51 UTC / 21:51 PKT | Previous cutoff: 16:40 UTC / 21:40 PKT</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90" w:type="dxa"/>
              <w:start w:w="120" w:type="dxa"/>
              <w:bottom w:w="90" w:type="dxa"/>
              <w:end w:w="120" w:type="dxa"/>
            </w:tcMar>
            <w:vAlign w:val="center"/>
            <w:shd w:fill="EEF3F6"/>
          </w:tcPr>
          <w:p>
            <w:pPr>
              <w:spacing w:after="20"/>
            </w:pPr>
            <w:r>
              <w:rPr>
                <w:b/>
                <w:color w:val="2E5F7F"/>
                <w:sz w:val="16"/>
              </w:rPr>
              <w:t>STRICT DELTA</w:t>
            </w:r>
          </w:p>
          <w:p>
            <w:pPr>
              <w:spacing w:after="0"/>
            </w:pPr>
            <w:r>
              <w:rPr>
                <w:sz w:val="19"/>
              </w:rPr>
              <w:t>No material change verified</w:t>
            </w:r>
          </w:p>
        </w:tc>
        <w:tc>
          <w:tcPr>
            <w:tcW w:type="dxa" w:w="3120"/>
            <w:tcMar>
              <w:top w:w="90" w:type="dxa"/>
              <w:start w:w="120" w:type="dxa"/>
              <w:bottom w:w="90" w:type="dxa"/>
              <w:end w:w="120" w:type="dxa"/>
            </w:tcMar>
            <w:vAlign w:val="center"/>
            <w:shd w:fill="EEF3F6"/>
          </w:tcPr>
          <w:p>
            <w:pPr>
              <w:spacing w:after="20"/>
            </w:pPr>
            <w:r>
              <w:rPr>
                <w:b/>
                <w:color w:val="2E5F7F"/>
                <w:sz w:val="16"/>
              </w:rPr>
              <w:t>WINDOW</w:t>
            </w:r>
          </w:p>
          <w:p>
            <w:pPr>
              <w:spacing w:after="0"/>
            </w:pPr>
            <w:r>
              <w:rPr>
                <w:sz w:val="19"/>
              </w:rPr>
              <w:t>About 11 minutes</w:t>
            </w:r>
          </w:p>
        </w:tc>
        <w:tc>
          <w:tcPr>
            <w:tcW w:type="dxa" w:w="3120"/>
            <w:tcMar>
              <w:top w:w="90" w:type="dxa"/>
              <w:start w:w="120" w:type="dxa"/>
              <w:bottom w:w="90" w:type="dxa"/>
              <w:end w:w="120" w:type="dxa"/>
            </w:tcMar>
            <w:vAlign w:val="center"/>
            <w:shd w:fill="EEF3F6"/>
          </w:tcPr>
          <w:p>
            <w:pPr>
              <w:spacing w:after="20"/>
            </w:pPr>
            <w:r>
              <w:rPr>
                <w:b/>
                <w:color w:val="2E5F7F"/>
                <w:sz w:val="16"/>
              </w:rPr>
              <w:t>OVERALL CONFIDENCE</w:t>
            </w:r>
          </w:p>
          <w:p>
            <w:pPr>
              <w:spacing w:after="0"/>
            </w:pPr>
            <w:r>
              <w:rPr>
                <w:sz w:val="19"/>
              </w:rPr>
              <w:t>Medium-high</w:t>
            </w:r>
          </w:p>
        </w:tc>
      </w:tr>
      <w:tr>
        <w:tc>
          <w:tcPr>
            <w:tcW w:type="dxa" w:w="3120"/>
            <w:tcMar>
              <w:top w:w="90" w:type="dxa"/>
              <w:start w:w="120" w:type="dxa"/>
              <w:bottom w:w="90" w:type="dxa"/>
              <w:end w:w="120" w:type="dxa"/>
            </w:tcMar>
            <w:vAlign w:val="center"/>
            <w:shd w:fill="F6F8FA"/>
          </w:tcPr>
          <w:p>
            <w:pPr>
              <w:spacing w:after="20"/>
            </w:pPr>
            <w:r>
              <w:rPr>
                <w:b/>
                <w:color w:val="2E5F7F"/>
                <w:sz w:val="16"/>
              </w:rPr>
              <w:t>POLICY REGISTER</w:t>
            </w:r>
          </w:p>
          <w:p>
            <w:pPr>
              <w:spacing w:after="0"/>
            </w:pPr>
            <w:r>
              <w:rPr>
                <w:sz w:val="19"/>
              </w:rPr>
              <w:t>AI approved; data policy draft</w:t>
            </w:r>
          </w:p>
        </w:tc>
        <w:tc>
          <w:tcPr>
            <w:tcW w:type="dxa" w:w="3120"/>
            <w:tcMar>
              <w:top w:w="90" w:type="dxa"/>
              <w:start w:w="120" w:type="dxa"/>
              <w:bottom w:w="90" w:type="dxa"/>
              <w:end w:w="120" w:type="dxa"/>
            </w:tcMar>
            <w:vAlign w:val="center"/>
            <w:shd w:fill="F6F8FA"/>
          </w:tcPr>
          <w:p>
            <w:pPr>
              <w:spacing w:after="20"/>
            </w:pPr>
            <w:r>
              <w:rPr>
                <w:b/>
                <w:color w:val="2E5F7F"/>
                <w:sz w:val="16"/>
              </w:rPr>
              <w:t>CYBER REGISTER</w:t>
            </w:r>
          </w:p>
          <w:p>
            <w:pPr>
              <w:spacing w:after="0"/>
            </w:pPr>
            <w:r>
              <w:rPr>
                <w:sz w:val="19"/>
              </w:rPr>
              <w:t>Advisory 17 remains latest</w:t>
            </w:r>
          </w:p>
        </w:tc>
        <w:tc>
          <w:tcPr>
            <w:tcW w:type="dxa" w:w="3120"/>
            <w:tcMar>
              <w:top w:w="90" w:type="dxa"/>
              <w:start w:w="120" w:type="dxa"/>
              <w:bottom w:w="90" w:type="dxa"/>
              <w:end w:w="120" w:type="dxa"/>
            </w:tcMar>
            <w:vAlign w:val="center"/>
            <w:shd w:fill="F6F8FA"/>
          </w:tcPr>
          <w:p>
            <w:pPr>
              <w:spacing w:after="20"/>
            </w:pPr>
            <w:r>
              <w:rPr>
                <w:b/>
                <w:color w:val="2E5F7F"/>
                <w:sz w:val="16"/>
              </w:rPr>
              <w:t>GOOGLE / PROVINCES</w:t>
            </w:r>
          </w:p>
          <w:p>
            <w:pPr>
              <w:spacing w:after="0"/>
            </w:pPr>
            <w:r>
              <w:rPr>
                <w:sz w:val="19"/>
              </w:rPr>
              <w:t>No operational delta</w:t>
            </w:r>
          </w:p>
        </w:tc>
      </w:tr>
    </w:tbl>
    <w:p>
      <w:pPr>
        <w:pStyle w:val="Source"/>
      </w:pPr>
      <w:r>
        <w:t>Scope note: “New” means reliable evidence published or materially updated after the previous 16:40 UTC cutoff. Same-day items from before that time are retained only as baseline context and are not counted as fresh implementation.</w:t>
      </w:r>
    </w:p>
    <w:p>
      <w:pPr>
        <w:pStyle w:val="Heading1"/>
      </w:pPr>
      <w:r>
        <w:t>1. Executive summary</w:t>
      </w:r>
    </w:p>
    <w:p>
      <w:pPr>
        <w:pStyle w:val="ListBullet"/>
      </w:pPr>
      <w:r>
        <w:t>No material post-cutoff development was verified. No new AI law or implementation instrument, final data-governance measure, horizontal privacy enactment, cyber directive, procurement award, funding release, infrastructure activation, realised investment, Google operating milestone, or provincial delivery change appeared in the checked window.</w:t>
      </w:r>
    </w:p>
    <w:p>
      <w:pPr>
        <w:pStyle w:val="ListBullet"/>
      </w:pPr>
      <w:r>
        <w:t>Primary registers remain unchanged. MoITT still lists the National AI Policy as Approved and the Data Governance Policy 2026 as Draft; the National Assembly register does not show a horizontal personal-data Act; PKCERT still ends at Advisory 17.</w:t>
      </w:r>
    </w:p>
    <w:p>
      <w:pPr>
        <w:pStyle w:val="ListBullet"/>
      </w:pPr>
      <w:r>
        <w:t>Infrastructure remains at announced, recommended, tender, or early-delivery stages. The PKR7.93 billion Emerging Technologies Data Centre and PKR13 billion NAIEDP remain CDWP recommendations to ECNEC; no financing, release, contract, construction, or capacity activation was verified.</w:t>
      </w:r>
    </w:p>
    <w:p>
      <w:pPr>
        <w:pStyle w:val="ListBullet"/>
      </w:pPr>
      <w:r>
        <w:t>Data-risk exposure is still ahead of horizontal privacy legislation. The PISF, NADRA–FBISE integration, child age-assurance proposals, government cloud, data exchanges, and AI model programmes need project-level controls on authority, purpose, minimisation, hosting/transfers, retention, security, audit, redress, and vendor exit.</w:t>
      </w:r>
    </w:p>
    <w:p>
      <w:pPr>
        <w:pStyle w:val="ListBullet"/>
      </w:pPr>
      <w:r>
        <w:t>Google’s office claim did not advance. Pakistani authorities document an Islamabad inauguration, but Google’s canonical office, Cloud-region, and data-centre directories still do not establish a Pakistan listing or local hosting; exact premises, entity, staffing, mandate, and processing location remain unresolved.</w:t>
      </w:r>
    </w:p>
    <w:p>
      <w:pPr>
        <w:pStyle w:val="Heading1"/>
      </w:pPr>
      <w:r>
        <w:t>2. Policy, regulation, and governance</w:t>
      </w:r>
    </w:p>
    <w:p>
      <w:pPr>
        <w:pStyle w:val="Heading2"/>
      </w:pPr>
      <w:r>
        <w:t>AI policy and implementation instruments</w:t>
      </w:r>
    </w:p>
    <w:p>
      <w:r>
        <w:rPr>
          <w:b/>
          <w:color w:val="17324D"/>
        </w:rPr>
        <w:t xml:space="preserve">Development: </w:t>
      </w:r>
      <w:r>
        <w:t>The live MoITT register continues to label the National Artificial Intelligence Policy “Approved” with an approval date of 31 July 2025. The policy sets targets for compute, data repositories, sandboxes, hubs, skills, and models, but the register supplies no post-cutoff implementation order or rules.</w:t>
      </w:r>
    </w:p>
    <w:p>
      <w:r>
        <w:rPr>
          <w:b/>
          <w:color w:val="17324D"/>
        </w:rPr>
        <w:t xml:space="preserve">Status: </w:t>
      </w:r>
      <w:r>
        <w:t>Approved policy; no new legal or implementation instrument verified.</w:t>
      </w:r>
    </w:p>
    <w:p>
      <w:r>
        <w:rPr>
          <w:b/>
          <w:color w:val="17324D"/>
        </w:rPr>
        <w:t xml:space="preserve">Institution / location: </w:t>
      </w:r>
      <w:r>
        <w:t>Ministry of IT &amp; Telecommunication (MoITT), Islamabad.</w:t>
      </w:r>
    </w:p>
    <w:p>
      <w:r>
        <w:rPr>
          <w:b/>
          <w:color w:val="17324D"/>
        </w:rPr>
        <w:t xml:space="preserve">What changed: </w:t>
      </w:r>
      <w:r>
        <w:t>No change after 16:40 UTC.</w:t>
      </w:r>
    </w:p>
    <w:p>
      <w:r>
        <w:rPr>
          <w:b/>
          <w:color w:val="17324D"/>
        </w:rPr>
        <w:t xml:space="preserve">Why it matters: </w:t>
      </w:r>
      <w:r>
        <w:t>The policy is a programme framework, not evidence that its targets have been funded, procured, commissioned, or made enforceable. Agencies and investors should look for budgets, rules, PC-Is, tenders, awards, technical standards, and measured outcomes.</w:t>
      </w:r>
    </w:p>
    <w:p>
      <w:r>
        <w:rPr>
          <w:b/>
          <w:color w:val="17324D"/>
        </w:rPr>
        <w:t xml:space="preserve">Confidence: </w:t>
      </w:r>
      <w:r>
        <w:t>High for register status; medium for exhaustive absence of later-indexed instruments.</w:t>
      </w:r>
      <w:r>
        <w:t xml:space="preserve"> | </w:t>
      </w:r>
      <w:hyperlink r:id="rId11">
        <w:r>
          <w:rPr>
            <w:color w:val="2E5F7F"/>
          </w:rPr>
          <w:t>MoITT Policies register (live, accessed 1 Sep 2026)</w:t>
        </w:r>
      </w:hyperlink>
    </w:p>
    <w:p>
      <w:pPr>
        <w:pStyle w:val="Heading2"/>
      </w:pPr>
      <w:r>
        <w:t>Parliamentary status</w:t>
      </w:r>
    </w:p>
    <w:p>
      <w:r>
        <w:rPr>
          <w:b/>
          <w:color w:val="17324D"/>
        </w:rPr>
        <w:t xml:space="preserve">Development: </w:t>
      </w:r>
      <w:r>
        <w:t>The Acts register still ends with enactments dated 20 August 2026. No horizontal personal-data Act, AI Act, or new scoped cyber/digital enactment was located.</w:t>
      </w:r>
    </w:p>
    <w:p>
      <w:r>
        <w:rPr>
          <w:b/>
          <w:color w:val="17324D"/>
        </w:rPr>
        <w:t xml:space="preserve">Status: </w:t>
      </w:r>
      <w:r>
        <w:t>No scoped enactment or parliamentary disposition verified.</w:t>
      </w:r>
    </w:p>
    <w:p>
      <w:r>
        <w:rPr>
          <w:b/>
          <w:color w:val="17324D"/>
        </w:rPr>
        <w:t xml:space="preserve">Institution / location: </w:t>
      </w:r>
      <w:r>
        <w:t>National Assembly of Pakistan, Islamabad.</w:t>
      </w:r>
    </w:p>
    <w:p>
      <w:r>
        <w:rPr>
          <w:b/>
          <w:color w:val="17324D"/>
        </w:rPr>
        <w:t xml:space="preserve">What changed: </w:t>
      </w:r>
      <w:r>
        <w:t>No change after 16:40 UTC.</w:t>
      </w:r>
    </w:p>
    <w:p>
      <w:r>
        <w:rPr>
          <w:b/>
          <w:color w:val="17324D"/>
        </w:rPr>
        <w:t xml:space="preserve">Why it matters: </w:t>
      </w:r>
      <w:r>
        <w:t>Current obligations remain distributed across sectoral law, contracts, policies, cyber rules, constitutional and court principles, rather than a single comprehensive AI or privacy statute.</w:t>
      </w:r>
    </w:p>
    <w:p>
      <w:r>
        <w:rPr>
          <w:b/>
          <w:color w:val="17324D"/>
        </w:rPr>
        <w:t xml:space="preserve">Confidence: </w:t>
      </w:r>
      <w:r>
        <w:t>High for the displayed register; medium for exhaustive legal absence because gazette and indexing lag remain possible.</w:t>
      </w:r>
      <w:r>
        <w:t xml:space="preserve"> | </w:t>
      </w:r>
      <w:hyperlink r:id="rId12">
        <w:r>
          <w:rPr>
            <w:color w:val="2E5F7F"/>
          </w:rPr>
          <w:t>National Assembly Acts register (live, accessed 1 Sep 2026)</w:t>
        </w:r>
      </w:hyperlink>
    </w:p>
    <w:p>
      <w:pPr>
        <w:pStyle w:val="Heading1"/>
      </w:pPr>
      <w:r>
        <w:t>3. Data regulation, digital policy, and cybersecurity</w:t>
      </w:r>
    </w:p>
    <w:p>
      <w:pPr>
        <w:pStyle w:val="Heading2"/>
      </w:pPr>
      <w:r>
        <w:t>National Data Governance Policy 2026</w:t>
      </w:r>
    </w:p>
    <w:p>
      <w:r>
        <w:rPr>
          <w:b/>
          <w:color w:val="17324D"/>
        </w:rPr>
        <w:t xml:space="preserve">Development: </w:t>
      </w:r>
      <w:r>
        <w:t>MoITT still lists the policy as Draft with 26 June 2026 shown in its register. No final text or notification appeared in the strict window.</w:t>
      </w:r>
    </w:p>
    <w:p>
      <w:r>
        <w:rPr>
          <w:b/>
          <w:color w:val="17324D"/>
        </w:rPr>
        <w:t xml:space="preserve">Status: </w:t>
      </w:r>
      <w:r>
        <w:t>Draft; not verified as final, notified, or in force.</w:t>
      </w:r>
    </w:p>
    <w:p>
      <w:r>
        <w:rPr>
          <w:b/>
          <w:color w:val="17324D"/>
        </w:rPr>
        <w:t xml:space="preserve">Institution / location: </w:t>
      </w:r>
      <w:r>
        <w:t>MoITT / Pakistan Digital Authority, federal government.</w:t>
      </w:r>
    </w:p>
    <w:p>
      <w:r>
        <w:rPr>
          <w:b/>
          <w:color w:val="17324D"/>
        </w:rPr>
        <w:t xml:space="preserve">What changed: </w:t>
      </w:r>
      <w:r>
        <w:t>No change after 16:40 UTC.</w:t>
      </w:r>
    </w:p>
    <w:p>
      <w:r>
        <w:rPr>
          <w:b/>
          <w:color w:val="17324D"/>
        </w:rPr>
        <w:t xml:space="preserve">Why it matters: </w:t>
      </w:r>
      <w:r>
        <w:t>Public bodies and vendors should not treat the draft as settled law. Its direction is decision-relevant, but contracts and system designs still need explicit legal authority, roles, access rules, retention, sharing, cross-border transfer, security, audit, and redress controls.</w:t>
      </w:r>
    </w:p>
    <w:p>
      <w:r>
        <w:rPr>
          <w:b/>
          <w:color w:val="17324D"/>
        </w:rPr>
        <w:t xml:space="preserve">Confidence: </w:t>
      </w:r>
      <w:r>
        <w:t>High.</w:t>
      </w:r>
      <w:r>
        <w:t xml:space="preserve"> | </w:t>
      </w:r>
      <w:hyperlink r:id="rId11">
        <w:r>
          <w:rPr>
            <w:color w:val="2E5F7F"/>
          </w:rPr>
          <w:t>MoITT Policies register (accessed 1 Sep 2026)</w:t>
        </w:r>
      </w:hyperlink>
    </w:p>
    <w:p>
      <w:pPr>
        <w:pStyle w:val="Heading2"/>
      </w:pPr>
      <w:r>
        <w:t>Pakistan Information Security Framework (PISF) 2026</w:t>
      </w:r>
    </w:p>
    <w:p>
      <w:r>
        <w:rPr>
          <w:b/>
          <w:color w:val="17324D"/>
        </w:rPr>
        <w:t xml:space="preserve">Development: </w:t>
      </w:r>
      <w:r>
        <w:t>A 1 September report says Cabinet approved PISF and sought clear timelines and independent third-party audit, while directing Planning not to approve stand-alone new ministerial data-centre proposals. The underlying Cabinet decision, implementation circular, scope, transition, conformance, exemptions, and enforcement text remain unavailable.</w:t>
      </w:r>
    </w:p>
    <w:p>
      <w:r>
        <w:rPr>
          <w:b/>
          <w:color w:val="17324D"/>
        </w:rPr>
        <w:t xml:space="preserve">Status: </w:t>
      </w:r>
      <w:r>
        <w:t>Reported Cabinet-approved; authoritative commencement and implementation instrument not located.</w:t>
      </w:r>
    </w:p>
    <w:p>
      <w:r>
        <w:rPr>
          <w:b/>
          <w:color w:val="17324D"/>
        </w:rPr>
        <w:t xml:space="preserve">Institution / location: </w:t>
      </w:r>
      <w:r>
        <w:t>Federal Cabinet / MoITT / Ministry of Planning, Islamabad.</w:t>
      </w:r>
    </w:p>
    <w:p>
      <w:r>
        <w:rPr>
          <w:b/>
          <w:color w:val="17324D"/>
        </w:rPr>
        <w:t xml:space="preserve">What changed: </w:t>
      </w:r>
      <w:r>
        <w:t>No post-cutoff instrument or clarification was verified.</w:t>
      </w:r>
    </w:p>
    <w:p>
      <w:r>
        <w:rPr>
          <w:b/>
          <w:color w:val="17324D"/>
        </w:rPr>
        <w:t xml:space="preserve">Why it matters: </w:t>
      </w:r>
      <w:r>
        <w:t>If implemented as reported, PISF could consolidate government security baselines and centralise infrastructure choices. Until the instrument is available, public bodies and suppliers should avoid assuming exact audit duties or an absolute procurement prohibition.</w:t>
      </w:r>
    </w:p>
    <w:p>
      <w:r>
        <w:rPr>
          <w:b/>
          <w:color w:val="17324D"/>
        </w:rPr>
        <w:t xml:space="preserve">Confidence: </w:t>
      </w:r>
      <w:r>
        <w:t>Medium.</w:t>
      </w:r>
      <w:r>
        <w:t xml:space="preserve"> | </w:t>
      </w:r>
      <w:hyperlink r:id="rId13">
        <w:r>
          <w:rPr>
            <w:color w:val="2E5F7F"/>
          </w:rPr>
          <w:t>Express Tribune, 1 Sep 2026</w:t>
        </w:r>
      </w:hyperlink>
    </w:p>
    <w:p>
      <w:pPr>
        <w:pStyle w:val="Heading2"/>
      </w:pPr>
      <w:r>
        <w:t>Cyber advisory and governance track</w:t>
      </w:r>
    </w:p>
    <w:p>
      <w:r>
        <w:rPr>
          <w:b/>
          <w:color w:val="17324D"/>
        </w:rPr>
        <w:t xml:space="preserve">Development: </w:t>
      </w:r>
      <w:r>
        <w:t>PKCERT’s live 2026 list still ends at Advisory 17. Its closed-door CISO Roundtable was scheduled for 09:00–13:00 PKT today, but no resolution, directive, standard, incident notice, or measurable outcome was published.</w:t>
      </w:r>
    </w:p>
    <w:p>
      <w:r>
        <w:rPr>
          <w:b/>
          <w:color w:val="17324D"/>
        </w:rPr>
        <w:t xml:space="preserve">Status: </w:t>
      </w:r>
      <w:r>
        <w:t>No new advisory or public outcome.</w:t>
      </w:r>
    </w:p>
    <w:p>
      <w:r>
        <w:rPr>
          <w:b/>
          <w:color w:val="17324D"/>
        </w:rPr>
        <w:t xml:space="preserve">Institution / location: </w:t>
      </w:r>
      <w:r>
        <w:t>PKCERT, Islamabad; CISO Roundtable held in Karachi.</w:t>
      </w:r>
    </w:p>
    <w:p>
      <w:r>
        <w:rPr>
          <w:b/>
          <w:color w:val="17324D"/>
        </w:rPr>
        <w:t xml:space="preserve">What changed: </w:t>
      </w:r>
      <w:r>
        <w:t>No change after 16:40 UTC.</w:t>
      </w:r>
    </w:p>
    <w:p>
      <w:r>
        <w:rPr>
          <w:b/>
          <w:color w:val="17324D"/>
        </w:rPr>
        <w:t xml:space="preserve">Why it matters: </w:t>
      </w:r>
      <w:r>
        <w:t>The event may inform practice, but attendance or discussion does not create a binding security control. Operators should monitor PKCERT’s register and any PISF implementation materials.</w:t>
      </w:r>
    </w:p>
    <w:p>
      <w:r>
        <w:rPr>
          <w:b/>
          <w:color w:val="17324D"/>
        </w:rPr>
        <w:t xml:space="preserve">Confidence: </w:t>
      </w:r>
      <w:r>
        <w:t>High for register and event schedule; low for unpublished outcomes.</w:t>
      </w:r>
      <w:r>
        <w:t xml:space="preserve"> | </w:t>
      </w:r>
      <w:hyperlink r:id="rId14">
        <w:r>
          <w:rPr>
            <w:color w:val="2E5F7F"/>
          </w:rPr>
          <w:t>PKCERT Advisories (accessed 1 Sep 2026)</w:t>
        </w:r>
      </w:hyperlink>
    </w:p>
    <w:p>
      <w:pPr>
        <w:pStyle w:val="Heading2"/>
      </w:pPr>
      <w:r>
        <w:t>Children’s data and age assurance</w:t>
      </w:r>
    </w:p>
    <w:p>
      <w:r>
        <w:rPr>
          <w:b/>
          <w:color w:val="17324D"/>
        </w:rPr>
        <w:t xml:space="preserve">Development: </w:t>
      </w:r>
      <w:r>
        <w:t>Same-day reporting says Punjab’s Assembly unanimously urged restrictions and age verification for under-16 social-media accounts. Separate reporting says the IHC issued notices and sought replies in an under-16 age-verification petition. Official resolution text and an authenticated court order were not located.</w:t>
      </w:r>
    </w:p>
    <w:p>
      <w:r>
        <w:rPr>
          <w:b/>
          <w:color w:val="17324D"/>
        </w:rPr>
        <w:t xml:space="preserve">Status: </w:t>
      </w:r>
      <w:r>
        <w:t>Punjab Assembly resolution reported; IHC petition at procedural notice/reply stage; no enacted duty.</w:t>
      </w:r>
    </w:p>
    <w:p>
      <w:r>
        <w:rPr>
          <w:b/>
          <w:color w:val="17324D"/>
        </w:rPr>
        <w:t xml:space="preserve">Institution / location: </w:t>
      </w:r>
      <w:r>
        <w:t>Punjab Assembly and Islamabad High Court.</w:t>
      </w:r>
    </w:p>
    <w:p>
      <w:r>
        <w:rPr>
          <w:b/>
          <w:color w:val="17324D"/>
        </w:rPr>
        <w:t xml:space="preserve">What changed: </w:t>
      </w:r>
      <w:r>
        <w:t>No post-cutoff order, bill, rule, or platform obligation was verified.</w:t>
      </w:r>
    </w:p>
    <w:p>
      <w:r>
        <w:rPr>
          <w:b/>
          <w:color w:val="17324D"/>
        </w:rPr>
        <w:t xml:space="preserve">Why it matters: </w:t>
      </w:r>
      <w:r>
        <w:t>Any future age-assurance regime must define authority, proportionality, data minimisation, whether biometrics are allowed, retention/deletion, parental involvement, vendor roles, security, appeals, and remedies for exclusion errors.</w:t>
      </w:r>
    </w:p>
    <w:p>
      <w:r>
        <w:rPr>
          <w:b/>
          <w:color w:val="17324D"/>
        </w:rPr>
        <w:t xml:space="preserve">Confidence: </w:t>
      </w:r>
      <w:r>
        <w:t>Medium.</w:t>
      </w:r>
      <w:r>
        <w:t xml:space="preserve"> | </w:t>
      </w:r>
      <w:hyperlink r:id="rId15">
        <w:r>
          <w:rPr>
            <w:color w:val="2E5F7F"/>
          </w:rPr>
          <w:t>Business Recorder, 1 Sep 2026</w:t>
        </w:r>
      </w:hyperlink>
    </w:p>
    <w:p>
      <w:pPr>
        <w:pStyle w:val="Heading2"/>
      </w:pPr>
      <w:r>
        <w:t>NADRA–FBISE identity and certificate integration</w:t>
      </w:r>
    </w:p>
    <w:p>
      <w:r>
        <w:rPr>
          <w:b/>
          <w:color w:val="17324D"/>
        </w:rPr>
        <w:t xml:space="preserve">Development: </w:t>
      </w:r>
      <w:r>
        <w:t>APP reported at 17:52 PKT that the institutions signed an identity/education-record integration agreement and planned a secure certificate wallet. The agreement text, production status, legal basis, access matrix, logging, retention, breach response, correction/redress, child-data controls, and audit evidence are unavailable.</w:t>
      </w:r>
    </w:p>
    <w:p>
      <w:r>
        <w:rPr>
          <w:b/>
          <w:color w:val="17324D"/>
        </w:rPr>
        <w:t xml:space="preserve">Status: </w:t>
      </w:r>
      <w:r>
        <w:t>Signed agreement; deployment and safeguards not evidenced.</w:t>
      </w:r>
    </w:p>
    <w:p>
      <w:r>
        <w:rPr>
          <w:b/>
          <w:color w:val="17324D"/>
        </w:rPr>
        <w:t xml:space="preserve">Institution / location: </w:t>
      </w:r>
      <w:r>
        <w:t>NADRA and Federal Board of Intermediate and Secondary Education, Islamabad.</w:t>
      </w:r>
    </w:p>
    <w:p>
      <w:r>
        <w:rPr>
          <w:b/>
          <w:color w:val="17324D"/>
        </w:rPr>
        <w:t xml:space="preserve">What changed: </w:t>
      </w:r>
      <w:r>
        <w:t>Same-day baseline only; published before the previous cutoff and unchanged since.</w:t>
      </w:r>
    </w:p>
    <w:p>
      <w:r>
        <w:rPr>
          <w:b/>
          <w:color w:val="17324D"/>
        </w:rPr>
        <w:t xml:space="preserve">Why it matters: </w:t>
      </w:r>
      <w:r>
        <w:t>The integration can reduce verification friction, but it also concentrates identity and education data, including minors’ records. Operational release should be conditioned on documented authority, minimisation, credential recovery, access monitoring, incident response, and independent audit.</w:t>
      </w:r>
    </w:p>
    <w:p>
      <w:r>
        <w:rPr>
          <w:b/>
          <w:color w:val="17324D"/>
        </w:rPr>
        <w:t xml:space="preserve">Confidence: </w:t>
      </w:r>
      <w:r>
        <w:t>Medium.</w:t>
      </w:r>
      <w:r>
        <w:t xml:space="preserve"> | </w:t>
      </w:r>
      <w:hyperlink r:id="rId16">
        <w:r>
          <w:rPr>
            <w:color w:val="2E5F7F"/>
          </w:rPr>
          <w:t>APP, 1 Sep 2026</w:t>
        </w:r>
      </w:hyperlink>
    </w:p>
    <w:p>
      <w:pPr>
        <w:pStyle w:val="Heading1"/>
      </w:pPr>
      <w:r>
        <w:t>4. AI and digital infrastructure</w:t>
      </w:r>
    </w:p>
    <w:p>
      <w:pPr>
        <w:pStyle w:val="Heading2"/>
      </w:pPr>
      <w:r>
        <w:t>Emerging Technologies Data Centre and NAIEDP</w:t>
      </w:r>
    </w:p>
    <w:p>
      <w:r>
        <w:rPr>
          <w:b/>
          <w:color w:val="17324D"/>
        </w:rPr>
        <w:t xml:space="preserve">Development: </w:t>
      </w:r>
      <w:r>
        <w:t>The 25 June PID release records PKR7.93 billion for an Emerging Technologies Data Centre and PKR13 billion for NAIEDP. Both were recommended to ECNEC; NAIEDP includes a feasibility study and upgraded PC-I.</w:t>
      </w:r>
    </w:p>
    <w:p>
      <w:r>
        <w:rPr>
          <w:b/>
          <w:color w:val="17324D"/>
        </w:rPr>
        <w:t xml:space="preserve">Status: </w:t>
      </w:r>
      <w:r>
        <w:t>CDWP in-principle approval and recommendation to ECNEC; not an ECNEC approval or delivery milestone.</w:t>
      </w:r>
    </w:p>
    <w:p>
      <w:r>
        <w:rPr>
          <w:b/>
          <w:color w:val="17324D"/>
        </w:rPr>
        <w:t xml:space="preserve">Institution / location: </w:t>
      </w:r>
      <w:r>
        <w:t>Planning Commission / MoITT, federal; location and final design not established in the release.</w:t>
      </w:r>
    </w:p>
    <w:p>
      <w:r>
        <w:rPr>
          <w:b/>
          <w:color w:val="17324D"/>
        </w:rPr>
        <w:t xml:space="preserve">What changed: </w:t>
      </w:r>
      <w:r>
        <w:t>No ECNEC decision, revised PC-I, financing close, release, award, construction, commissioning, or capacity evidence appeared after 16:40 UTC.</w:t>
      </w:r>
    </w:p>
    <w:p>
      <w:r>
        <w:rPr>
          <w:b/>
          <w:color w:val="17324D"/>
        </w:rPr>
        <w:t xml:space="preserve">Why it matters: </w:t>
      </w:r>
      <w:r>
        <w:t>These could become the public compute and governance backbone for the AI Policy, but the decision gate is still upstream. Procurement, accelerator inventory, allocatable capacity, user eligibility, pricing, data controls, energy supply, cooling, resilience, and operating model remain open.</w:t>
      </w:r>
    </w:p>
    <w:p>
      <w:r>
        <w:rPr>
          <w:b/>
          <w:color w:val="17324D"/>
        </w:rPr>
        <w:t xml:space="preserve">Confidence: </w:t>
      </w:r>
      <w:r>
        <w:t>High for CDWP status and amounts; medium for current absence of later documents.</w:t>
      </w:r>
      <w:r>
        <w:t xml:space="preserve"> | </w:t>
      </w:r>
      <w:hyperlink r:id="rId17">
        <w:r>
          <w:rPr>
            <w:color w:val="2E5F7F"/>
          </w:rPr>
          <w:t>PID, 25 Jun 2026</w:t>
        </w:r>
      </w:hyperlink>
    </w:p>
    <w:p>
      <w:pPr>
        <w:pStyle w:val="Heading2"/>
      </w:pPr>
      <w:r>
        <w:t>Private sovereign-cloud and data-centre capacity</w:t>
      </w:r>
    </w:p>
    <w:p>
      <w:r>
        <w:rPr>
          <w:b/>
          <w:color w:val="17324D"/>
        </w:rPr>
        <w:t xml:space="preserve">Development: </w:t>
      </w:r>
      <w:r>
        <w:t>Previously reported claims describe an 8.5 MW facility and expansion plans. In the current window no accelerator inventory, sellable GPU capacity, IT load, customer workload, tariff/PPA, redundant-feed design, backup runtime, cooling/water profile, PUE/WUE, certification, availability, or utilisation evidence was published.</w:t>
      </w:r>
    </w:p>
    <w:p>
      <w:r>
        <w:rPr>
          <w:b/>
          <w:color w:val="17324D"/>
        </w:rPr>
        <w:t xml:space="preserve">Status: </w:t>
      </w:r>
      <w:r>
        <w:t>Announced or launched capacity; no new technical activation evidence.</w:t>
      </w:r>
    </w:p>
    <w:p>
      <w:r>
        <w:rPr>
          <w:b/>
          <w:color w:val="17324D"/>
        </w:rPr>
        <w:t xml:space="preserve">Institution / location: </w:t>
      </w:r>
      <w:r>
        <w:t>Sky47 / Data Vault Pakistan; Karachi/Port Qasim tracks reported previously.</w:t>
      </w:r>
    </w:p>
    <w:p>
      <w:r>
        <w:rPr>
          <w:b/>
          <w:color w:val="17324D"/>
        </w:rPr>
        <w:t xml:space="preserve">What changed: </w:t>
      </w:r>
      <w:r>
        <w:t>No change after 16:40 UTC.</w:t>
      </w:r>
    </w:p>
    <w:p>
      <w:r>
        <w:rPr>
          <w:b/>
          <w:color w:val="17324D"/>
        </w:rPr>
        <w:t xml:space="preserve">Why it matters: </w:t>
      </w:r>
      <w:r>
        <w:t>Facility power is not the same as AI compute capacity. Buyers and investors need verified IT load, hardware, service availability, resilience, compliance, and energy economics before treating announced capacity as usable sovereign AI infrastructure.</w:t>
      </w:r>
    </w:p>
    <w:p>
      <w:r>
        <w:rPr>
          <w:b/>
          <w:color w:val="17324D"/>
        </w:rPr>
        <w:t xml:space="preserve">Confidence: </w:t>
      </w:r>
      <w:r>
        <w:t>Medium.</w:t>
      </w:r>
      <w:r>
        <w:t xml:space="preserve"> | </w:t>
      </w:r>
      <w:hyperlink r:id="rId18">
        <w:r>
          <w:rPr>
            <w:color w:val="2E5F7F"/>
          </w:rPr>
          <w:t>PID, 21 Aug 2026</w:t>
        </w:r>
      </w:hyperlink>
    </w:p>
    <w:p>
      <w:pPr>
        <w:pStyle w:val="Heading2"/>
      </w:pPr>
      <w:r>
        <w:t>Connectivity and energy dependencies</w:t>
      </w:r>
    </w:p>
    <w:p>
      <w:r>
        <w:rPr>
          <w:b/>
          <w:color w:val="17324D"/>
        </w:rPr>
        <w:t xml:space="preserve">Development: </w:t>
      </w:r>
      <w:r>
        <w:t>Live and targeted searches found no post-cutoff spectrum, fibre, broadband, data-centre power, grid, PPA, tariff, or redundancy milestone. Open EPADS/PPRA opportunities remain pre-award, including NTC network and data-centre equipment items with August publication dates.</w:t>
      </w:r>
    </w:p>
    <w:p>
      <w:r>
        <w:rPr>
          <w:b/>
          <w:color w:val="17324D"/>
        </w:rPr>
        <w:t xml:space="preserve">Status: </w:t>
      </w:r>
      <w:r>
        <w:t>No activation, restoration milestone, award, or compute-energy commitment verified.</w:t>
      </w:r>
    </w:p>
    <w:p>
      <w:r>
        <w:rPr>
          <w:b/>
          <w:color w:val="17324D"/>
        </w:rPr>
        <w:t xml:space="preserve">Institution / location: </w:t>
      </w:r>
      <w:r>
        <w:t>PTA, NTC, WAPDA/distribution companies, operators, provincial authorities.</w:t>
      </w:r>
    </w:p>
    <w:p>
      <w:r>
        <w:rPr>
          <w:b/>
          <w:color w:val="17324D"/>
        </w:rPr>
        <w:t xml:space="preserve">What changed: </w:t>
      </w:r>
      <w:r>
        <w:t>No change after 16:40 UTC.</w:t>
      </w:r>
    </w:p>
    <w:p>
      <w:r>
        <w:rPr>
          <w:b/>
          <w:color w:val="17324D"/>
        </w:rPr>
        <w:t xml:space="preserve">Why it matters: </w:t>
      </w:r>
      <w:r>
        <w:t>AI capacity depends on reliable high-density power, cooling and diverse fibre. Procurement notices or grid allocations should not be equated with delivered capacity until contract, acceptance, service levels, and operating data are available.</w:t>
      </w:r>
    </w:p>
    <w:p>
      <w:r>
        <w:rPr>
          <w:b/>
          <w:color w:val="17324D"/>
        </w:rPr>
        <w:t xml:space="preserve">Confidence: </w:t>
      </w:r>
      <w:r>
        <w:t>Medium-high for the bounded window; medium for exhaustive absence.</w:t>
      </w:r>
      <w:r>
        <w:t xml:space="preserve"> | </w:t>
      </w:r>
      <w:hyperlink r:id="rId19">
        <w:r>
          <w:rPr>
            <w:color w:val="2E5F7F"/>
          </w:rPr>
          <w:t>EPADS open opportunities (accessed 1 Sep 2026)</w:t>
        </w:r>
      </w:hyperlink>
    </w:p>
    <w:p>
      <w:pPr>
        <w:pStyle w:val="Heading1"/>
      </w:pPr>
      <w:r>
        <w:t>5. Programs, funding, and investment</w:t>
      </w:r>
    </w:p>
    <w:p>
      <w:pPr>
        <w:pStyle w:val="Heading2"/>
      </w:pPr>
      <w:r>
        <w:t>Saudi digital, cloud, and cybersecurity cooperation</w:t>
      </w:r>
    </w:p>
    <w:p>
      <w:r>
        <w:rPr>
          <w:b/>
          <w:color w:val="17324D"/>
        </w:rPr>
        <w:t xml:space="preserve">Development: </w:t>
      </w:r>
      <w:r>
        <w:t>APP reported at 20:31 PKT that the parties agreed to strengthen cooperation in cloud infrastructure and cybersecurity. No signed instrument or committed investment was provided.</w:t>
      </w:r>
    </w:p>
    <w:p>
      <w:r>
        <w:rPr>
          <w:b/>
          <w:color w:val="17324D"/>
        </w:rPr>
        <w:t xml:space="preserve">Status: </w:t>
      </w:r>
      <w:r>
        <w:t>Announced bilateral understanding; no MoU text, workplan, budget, project, capacity, or delivery body.</w:t>
      </w:r>
    </w:p>
    <w:p>
      <w:r>
        <w:rPr>
          <w:b/>
          <w:color w:val="17324D"/>
        </w:rPr>
        <w:t xml:space="preserve">Institution / location: </w:t>
      </w:r>
      <w:r>
        <w:t>MoITT and Saudi Ministry of Communications and Information Technology; LEAP 2026, Riyadh.</w:t>
      </w:r>
    </w:p>
    <w:p>
      <w:r>
        <w:rPr>
          <w:b/>
          <w:color w:val="17324D"/>
        </w:rPr>
        <w:t xml:space="preserve">What changed: </w:t>
      </w:r>
      <w:r>
        <w:t>Same-day baseline only; published before the prior cutoff. No post-cutoff implementation detail appeared.</w:t>
      </w:r>
    </w:p>
    <w:p>
      <w:r>
        <w:rPr>
          <w:b/>
          <w:color w:val="17324D"/>
        </w:rPr>
        <w:t xml:space="preserve">Why it matters: </w:t>
      </w:r>
      <w:r>
        <w:t>The engagement may open a funding or provider channel, but it is not yet a bankable project or regulatory arrangement. Watch for entity, location, financing, ownership, procurement, hosting, cross-border transfer, cybersecurity, and exit terms.</w:t>
      </w:r>
    </w:p>
    <w:p>
      <w:r>
        <w:rPr>
          <w:b/>
          <w:color w:val="17324D"/>
        </w:rPr>
        <w:t xml:space="preserve">Confidence: </w:t>
      </w:r>
      <w:r>
        <w:t>Medium.</w:t>
      </w:r>
      <w:r>
        <w:t xml:space="preserve"> | </w:t>
      </w:r>
      <w:hyperlink r:id="rId20">
        <w:r>
          <w:rPr>
            <w:color w:val="2E5F7F"/>
          </w:rPr>
          <w:t>APP, 1 Sep 2026</w:t>
        </w:r>
      </w:hyperlink>
    </w:p>
    <w:p>
      <w:pPr>
        <w:pStyle w:val="Heading2"/>
      </w:pPr>
      <w:r>
        <w:t>Open-source national digital stack</w:t>
      </w:r>
    </w:p>
    <w:p>
      <w:r>
        <w:rPr>
          <w:b/>
          <w:color w:val="17324D"/>
        </w:rPr>
        <w:t xml:space="preserve">Development: </w:t>
      </w:r>
      <w:r>
        <w:t>Same-day reports describe a proposed open-source identity, data, and payments stack that Pakistan may share with emerging economies once complete. No release, repository, licence, technical architecture, recipient agreement, budget, security review, or privacy framework was established.</w:t>
      </w:r>
    </w:p>
    <w:p>
      <w:r>
        <w:rPr>
          <w:b/>
          <w:color w:val="17324D"/>
        </w:rPr>
        <w:t xml:space="preserve">Status: </w:t>
      </w:r>
      <w:r>
        <w:t>Announced intention; stack described as unfinished.</w:t>
      </w:r>
    </w:p>
    <w:p>
      <w:r>
        <w:rPr>
          <w:b/>
          <w:color w:val="17324D"/>
        </w:rPr>
        <w:t xml:space="preserve">Institution / location: </w:t>
      </w:r>
      <w:r>
        <w:t>MoITT / Pakistan Digital Authority; comments at LEAP 2026.</w:t>
      </w:r>
    </w:p>
    <w:p>
      <w:r>
        <w:rPr>
          <w:b/>
          <w:color w:val="17324D"/>
        </w:rPr>
        <w:t xml:space="preserve">What changed: </w:t>
      </w:r>
      <w:r>
        <w:t>No post-cutoff release or agreement verified.</w:t>
      </w:r>
    </w:p>
    <w:p>
      <w:r>
        <w:rPr>
          <w:b/>
          <w:color w:val="17324D"/>
        </w:rPr>
        <w:t xml:space="preserve">Why it matters: </w:t>
      </w:r>
      <w:r>
        <w:t>Open sourcing could lower adoption costs and export public digital infrastructure, but identity/payment components carry high security, surveillance, interoperability, and data-transfer risks. Evidence should move from speech to code, standards, threat models, governance, and audited pilots.</w:t>
      </w:r>
    </w:p>
    <w:p>
      <w:r>
        <w:rPr>
          <w:b/>
          <w:color w:val="17324D"/>
        </w:rPr>
        <w:t xml:space="preserve">Confidence: </w:t>
      </w:r>
      <w:r>
        <w:t>Medium-low.</w:t>
      </w:r>
      <w:r>
        <w:t xml:space="preserve"> | </w:t>
      </w:r>
      <w:hyperlink r:id="rId21">
        <w:r>
          <w:rPr>
            <w:color w:val="2E5F7F"/>
          </w:rPr>
          <w:t>Arab News Pakistan, 1 Sep 2026</w:t>
        </w:r>
      </w:hyperlink>
    </w:p>
    <w:p>
      <w:pPr>
        <w:pStyle w:val="Heading2"/>
      </w:pPr>
      <w:r>
        <w:t>Procurement and programme gates</w:t>
      </w:r>
    </w:p>
    <w:p>
      <w:r>
        <w:rPr>
          <w:b/>
          <w:color w:val="17324D"/>
        </w:rPr>
        <w:t xml:space="preserve">Development: </w:t>
      </w:r>
      <w:r>
        <w:t>No scoped evaluation, grievance disposition, award, signed contract, payment release, acceptance certificate, or measured outcome was verified after the cutoff. Tracked deadlines remain in September for infrastructure, support, and equipment procurements.</w:t>
      </w:r>
    </w:p>
    <w:p>
      <w:r>
        <w:rPr>
          <w:b/>
          <w:color w:val="17324D"/>
        </w:rPr>
        <w:t xml:space="preserve">Status: </w:t>
      </w:r>
      <w:r>
        <w:t>Tenders and programme targets remain pre-delivery.</w:t>
      </w:r>
    </w:p>
    <w:p>
      <w:r>
        <w:rPr>
          <w:b/>
          <w:color w:val="17324D"/>
        </w:rPr>
        <w:t xml:space="preserve">Institution / location: </w:t>
      </w:r>
      <w:r>
        <w:t>Ignite, NTC, KPT, NADRA, State Life and relevant procuring agencies.</w:t>
      </w:r>
    </w:p>
    <w:p>
      <w:r>
        <w:rPr>
          <w:b/>
          <w:color w:val="17324D"/>
        </w:rPr>
        <w:t xml:space="preserve">What changed: </w:t>
      </w:r>
      <w:r>
        <w:t>No change after 16:40 UTC.</w:t>
      </w:r>
    </w:p>
    <w:p>
      <w:r>
        <w:rPr>
          <w:b/>
          <w:color w:val="17324D"/>
        </w:rPr>
        <w:t xml:space="preserve">Why it matters: </w:t>
      </w:r>
      <w:r>
        <w:t>For suppliers and investors, tender publication establishes opportunity, not revenue or deployment. Award, contract terms, delivery acceptance, and recurring operating budgets remain the decision-relevant evidence.</w:t>
      </w:r>
    </w:p>
    <w:p>
      <w:r>
        <w:rPr>
          <w:b/>
          <w:color w:val="17324D"/>
        </w:rPr>
        <w:t xml:space="preserve">Confidence: </w:t>
      </w:r>
      <w:r>
        <w:t>Medium-high.</w:t>
      </w:r>
      <w:r>
        <w:t xml:space="preserve"> | </w:t>
      </w:r>
      <w:hyperlink r:id="rId22">
        <w:r>
          <w:rPr>
            <w:color w:val="2E5F7F"/>
          </w:rPr>
          <w:t>PPRA active services tenders (accessed 1 Sep 2026)</w:t>
        </w:r>
      </w:hyperlink>
    </w:p>
    <w:p>
      <w:pPr>
        <w:pStyle w:val="Heading1"/>
      </w:pPr>
      <w:r>
        <w:t>6. Provincial and local developments</w:t>
      </w:r>
    </w:p>
    <w:p>
      <w:pPr>
        <w:pStyle w:val="Heading2"/>
      </w:pPr>
      <w:r>
        <w:t>Provincial feeds and local delivery</w:t>
      </w:r>
    </w:p>
    <w:p>
      <w:r>
        <w:rPr>
          <w:b/>
          <w:color w:val="17324D"/>
        </w:rPr>
        <w:t xml:space="preserve">Development: </w:t>
      </w:r>
      <w:r>
        <w:t>At the 21:50 PKT check, APP’s visible provincial feeds contained no item after the 21:40 PKT cutoff. Same-day earlier items included Gomal University’s claimed central data-centre launch and RDA’s housing-schemes portal, but neither supplied a new post-cutoff implementation change.</w:t>
      </w:r>
    </w:p>
    <w:p>
      <w:r>
        <w:rPr>
          <w:b/>
          <w:color w:val="17324D"/>
        </w:rPr>
        <w:t xml:space="preserve">Status: </w:t>
      </w:r>
      <w:r>
        <w:t>No post-cutoff provincial AI, digital-government, data-centre, connectivity, or compute-energy development.</w:t>
      </w:r>
    </w:p>
    <w:p>
      <w:r>
        <w:rPr>
          <w:b/>
          <w:color w:val="17324D"/>
        </w:rPr>
        <w:t xml:space="preserve">Institution / location: </w:t>
      </w:r>
      <w:r>
        <w:t>Punjab, Sindh, Khyber Pakhtunkhwa, Balochistan, Gilgit-Baltistan and local authorities.</w:t>
      </w:r>
    </w:p>
    <w:p>
      <w:r>
        <w:rPr>
          <w:b/>
          <w:color w:val="17324D"/>
        </w:rPr>
        <w:t xml:space="preserve">What changed: </w:t>
      </w:r>
      <w:r>
        <w:t>No change after 16:40 UTC.</w:t>
      </w:r>
    </w:p>
    <w:p>
      <w:r>
        <w:rPr>
          <w:b/>
          <w:color w:val="17324D"/>
        </w:rPr>
        <w:t xml:space="preserve">Why it matters: </w:t>
      </w:r>
      <w:r>
        <w:t>Provincial initiatives often become consequential through procurement, system notification, local hosting, data sharing, or service commissioning. Those instruments and measurable usage remain the appropriate trigger for changing status.</w:t>
      </w:r>
    </w:p>
    <w:p>
      <w:r>
        <w:rPr>
          <w:b/>
          <w:color w:val="17324D"/>
        </w:rPr>
        <w:t xml:space="preserve">Confidence: </w:t>
      </w:r>
      <w:r>
        <w:t>High for visible feed timestamps; medium overall because provincial portals and search indexing can lag.</w:t>
      </w:r>
      <w:r>
        <w:t xml:space="preserve"> | </w:t>
      </w:r>
      <w:hyperlink r:id="rId23">
        <w:r>
          <w:rPr>
            <w:color w:val="2E5F7F"/>
          </w:rPr>
          <w:t>APP Punjab feed (accessed 1 Sep 2026)</w:t>
        </w:r>
      </w:hyperlink>
    </w:p>
    <w:p>
      <w:pPr>
        <w:pStyle w:val="Heading1"/>
      </w:pPr>
      <w:r>
        <w:t>7. What changed / why it matters</w:t>
      </w:r>
    </w:p>
    <w:p>
      <w:pPr>
        <w:pStyle w:val="ListBullet"/>
      </w:pPr>
      <w:r>
        <w:t>What changed: nothing material was verified in the approximately 11-minute interval. The report therefore does not promote late-indexed speeches, event pages, date-only articles, tenders, or repeated announcements into implementation milestones.</w:t>
      </w:r>
    </w:p>
    <w:p>
      <w:pPr>
        <w:pStyle w:val="ListBullet"/>
      </w:pPr>
      <w:r>
        <w:t>Legal effect: Pakistan still lacks a verified horizontal personal-data statute in force. The AI Policy is approved policy, the Data Governance Policy remains draft, the child social-media measures remain political/procedural, and the PISF’s precise implementation mechanics remain incompletely documented.</w:t>
      </w:r>
    </w:p>
    <w:p>
      <w:pPr>
        <w:pStyle w:val="ListBullet"/>
      </w:pPr>
      <w:r>
        <w:t>Commercial effect: planned public compute and sovereign-cloud initiatives remain before final approval, contract, capacity allocation, or customer evidence. Investors should discount headline project values until ECNEC decisions, releases, awards, hardware, power and operating metrics are visible.</w:t>
      </w:r>
    </w:p>
    <w:p>
      <w:pPr>
        <w:pStyle w:val="ListBullet"/>
      </w:pPr>
      <w:r>
        <w:t>Operational effect: agencies proceeding with AI, identity, education-record, cloud, and data-exchange projects need interim governance in contracts and system design: lawful authority, purpose limits, data minimisation, role allocation, security controls, human review, retention/deletion, incident response, audit, redress, portability, and exit.</w:t>
      </w:r>
    </w:p>
    <w:p>
      <w:pPr>
        <w:pStyle w:val="ListBullet"/>
      </w:pPr>
      <w:r>
        <w:t>Evidence risk: confidence is strongest for what the live primary registers display and weaker for proving a universal absence during a short window. Mutable pages, unavailable PTA pages, date-only releases, and indexing lag can produce later corrections.</w:t>
      </w:r>
    </w:p>
    <w:p>
      <w:pPr>
        <w:pStyle w:val="Heading1"/>
      </w:pPr>
      <w:r>
        <w:t>8. Watchlist</w:t>
      </w:r>
    </w:p>
    <w:p>
      <w:pPr>
        <w:pStyle w:val="ListBullet"/>
      </w:pPr>
      <w:r>
        <w:t>Immediate legal and policy: final/notified Data Governance Policy; horizontal personal-data enactment; authenticated PISF approval/implementation instrument; PKCERT Advisory 18; IHC authenticated order and respondent filings; official Punjab under-16 resolution text and any bill or federal implementation route.</w:t>
      </w:r>
    </w:p>
    <w:p>
      <w:pPr>
        <w:pStyle w:val="ListBullet"/>
      </w:pPr>
      <w:r>
        <w:t>Data integration: NADRA–FBISE agreement text, legal basis, minimisation, access, logging, retention, breach response, child-data safeguards, correction/redress, credential recovery, production deployment, and audit evidence.</w:t>
      </w:r>
    </w:p>
    <w:p>
      <w:pPr>
        <w:pStyle w:val="ListBullet"/>
      </w:pPr>
      <w:r>
        <w:t>Public compute: ECNEC decisions, revised PC-Is, releases, awards, construction and acceptance for the Emerging Technologies Data Centre and NAIEDP; AI Hubs evaluation and award.</w:t>
      </w:r>
    </w:p>
    <w:p>
      <w:pPr>
        <w:pStyle w:val="ListBullet"/>
      </w:pPr>
      <w:r>
        <w:t>Infrastructure evidence: accelerator inventory, allocatable capacity, pricing, customers/workloads, IT MW, grid connection/PPA/tariffs, redundant feeds, backup runtime, cooling and water, fibre diversity, certifications, PUE/WUE, availability and utilisation.</w:t>
      </w:r>
    </w:p>
    <w:p>
      <w:pPr>
        <w:pStyle w:val="ListBullet"/>
      </w:pPr>
      <w:r>
        <w:t>September procurement dates: NTC power/UPS/cooling and National Assembly IT&amp;T Committee on 10 Sep; KPT firewall 17 Sep; NTC OFC/PABX 18 Sep; sovereign-AI and NADRA support 21 Sep; NTC inverter AC 22 Sep; State Life core switches 23 Sep; Sky47 Port Qasim target 30 Sep.</w:t>
      </w:r>
    </w:p>
    <w:p>
      <w:pPr>
        <w:pStyle w:val="ListBullet"/>
      </w:pPr>
      <w:r>
        <w:t>Google: canonical premises/address, office type, legal/employing entity, occupancy, headcount, mandate, realised investment, AI-centre delivery, Cloud region, data-centre/local hosting, processing location, transfers and residency; Ads invoicing transition on 1 Oct.</w:t>
      </w:r>
    </w:p>
    <w:p>
      <w:pPr>
        <w:pStyle w:val="ListBullet"/>
      </w:pPr>
      <w:r>
        <w:t>Provinces: Punjab school-AI notification and safeguards; Punjab Data Lake/OneMap authority and controls; provincial data-centre awards/commissioning; AJK connectivity restoration; measured outcomes from RDA, FESCO, Gomal University, and Balochistan skills initiatives.</w:t>
      </w:r>
    </w:p>
    <w:p>
      <w:pPr>
        <w:pStyle w:val="Heading1"/>
      </w:pPr>
      <w:r>
        <w:t>9. Google in Pakistan — monitoring note</w:t>
      </w:r>
    </w:p>
    <w:p>
      <w:r>
        <w:t>No standalone substantive update is recorded for the strict interval. Pakistani primary sources dated 18 August say the prime minister inaugurated Google’s first office in Islamabad. Google’s live canonical office directory still contains no Pakistan listing, while its Cloud-region and owned-data-centre directories do not establish a Pakistan location. Google Careers continues to show three Pakistan-matched roles, including two in Karachi, but the page has no publication timestamps. Accordingly, the existence of a government-inaugurated local presence is supported, while exact premises, office type, legal/employing entity, occupancy, headcount, mandate, and any local hosting remain unresolved. Confidence: high for live directory contents; medium for the overall operational characterisation.</w:t>
      </w:r>
    </w:p>
    <w:p>
      <w:pPr>
        <w:pStyle w:val="Source"/>
      </w:pPr>
      <w:r>
        <w:t xml:space="preserve">Evidence: </w:t>
      </w:r>
      <w:hyperlink r:id="rId24">
        <w:r>
          <w:rPr>
            <w:color w:val="2E5F7F"/>
          </w:rPr>
          <w:t>PDA, 18 Aug 2026</w:t>
        </w:r>
      </w:hyperlink>
      <w:r>
        <w:t xml:space="preserve"> | </w:t>
      </w:r>
      <w:hyperlink r:id="rId25">
        <w:r>
          <w:rPr>
            <w:color w:val="2E5F7F"/>
          </w:rPr>
          <w:t>Google office directory</w:t>
        </w:r>
      </w:hyperlink>
      <w:r>
        <w:t xml:space="preserve"> | </w:t>
      </w:r>
      <w:hyperlink r:id="rId26">
        <w:r>
          <w:rPr>
            <w:color w:val="2E5F7F"/>
          </w:rPr>
          <w:t>Google Cloud locations</w:t>
        </w:r>
      </w:hyperlink>
      <w:r>
        <w:t xml:space="preserve"> | </w:t>
      </w:r>
      <w:hyperlink r:id="rId27">
        <w:r>
          <w:rPr>
            <w:color w:val="2E5F7F"/>
          </w:rPr>
          <w:t>Google data centres</w:t>
        </w:r>
      </w:hyperlink>
      <w:r>
        <w:t xml:space="preserve"> | </w:t>
      </w:r>
      <w:hyperlink r:id="rId28">
        <w:r>
          <w:rPr>
            <w:color w:val="2E5F7F"/>
          </w:rPr>
          <w:t>Google Careers: Pakistan</w:t>
        </w:r>
      </w:hyperlink>
    </w:p>
    <w:p>
      <w:pPr>
        <w:pStyle w:val="Heading1"/>
      </w:pPr>
      <w:r>
        <w:t>10. Sources</w:t>
      </w:r>
    </w:p>
    <w:p>
      <w:pPr>
        <w:pStyle w:val="Source"/>
      </w:pPr>
      <w:r>
        <w:rPr>
          <w:b/>
        </w:rPr>
        <w:t xml:space="preserve">1. MoITT | live; accessed 1 Sep 2026 | </w:t>
      </w:r>
      <w:hyperlink r:id="rId11">
        <w:r>
          <w:rPr>
            <w:color w:val="2E5F7F"/>
          </w:rPr>
          <w:t>Policies register</w:t>
        </w:r>
      </w:hyperlink>
      <w:r>
        <w:t xml:space="preserve"> — Primary status register.</w:t>
      </w:r>
    </w:p>
    <w:p>
      <w:pPr>
        <w:pStyle w:val="Source"/>
      </w:pPr>
      <w:r>
        <w:rPr>
          <w:b/>
        </w:rPr>
        <w:t xml:space="preserve">2. MoITT | 31 Jul 2025 | </w:t>
      </w:r>
      <w:hyperlink r:id="rId29">
        <w:r>
          <w:rPr>
            <w:color w:val="2E5F7F"/>
          </w:rPr>
          <w:t>National Artificial Intelligence Policy</w:t>
        </w:r>
      </w:hyperlink>
      <w:r>
        <w:t xml:space="preserve"> — Primary policy text.</w:t>
      </w:r>
    </w:p>
    <w:p>
      <w:pPr>
        <w:pStyle w:val="Source"/>
      </w:pPr>
      <w:r>
        <w:rPr>
          <w:b/>
        </w:rPr>
        <w:t xml:space="preserve">3. National Assembly | live; accessed 1 Sep 2026 | </w:t>
      </w:r>
      <w:hyperlink r:id="rId12">
        <w:r>
          <w:rPr>
            <w:color w:val="2E5F7F"/>
          </w:rPr>
          <w:t>Acts register</w:t>
        </w:r>
      </w:hyperlink>
      <w:r>
        <w:t xml:space="preserve"> — Primary parliamentary register; page was intermittently slow.</w:t>
      </w:r>
    </w:p>
    <w:p>
      <w:pPr>
        <w:pStyle w:val="Source"/>
      </w:pPr>
      <w:r>
        <w:rPr>
          <w:b/>
        </w:rPr>
        <w:t xml:space="preserve">4. PKCERT | live; accessed 1 Sep 2026 | </w:t>
      </w:r>
      <w:hyperlink r:id="rId14">
        <w:r>
          <w:rPr>
            <w:color w:val="2E5F7F"/>
          </w:rPr>
          <w:t>2026 advisories</w:t>
        </w:r>
      </w:hyperlink>
      <w:r>
        <w:t xml:space="preserve"> — Primary cyber register.</w:t>
      </w:r>
    </w:p>
    <w:p>
      <w:pPr>
        <w:pStyle w:val="Source"/>
      </w:pPr>
      <w:r>
        <w:rPr>
          <w:b/>
        </w:rPr>
        <w:t xml:space="preserve">5. PKCERT | event dated 1 Sep 2026 | </w:t>
      </w:r>
      <w:hyperlink r:id="rId30">
        <w:r>
          <w:rPr>
            <w:color w:val="2E5F7F"/>
          </w:rPr>
          <w:t>CISO Roundtable 2026</w:t>
        </w:r>
      </w:hyperlink>
      <w:r>
        <w:t xml:space="preserve"> — Primary event page; no published outcome.</w:t>
      </w:r>
    </w:p>
    <w:p>
      <w:pPr>
        <w:pStyle w:val="Source"/>
      </w:pPr>
      <w:r>
        <w:rPr>
          <w:b/>
        </w:rPr>
        <w:t xml:space="preserve">6. Express Tribune | 1 Sep 2026 | </w:t>
      </w:r>
      <w:hyperlink r:id="rId13">
        <w:r>
          <w:rPr>
            <w:color w:val="2E5F7F"/>
          </w:rPr>
          <w:t>Information security system okayed</w:t>
        </w:r>
      </w:hyperlink>
      <w:r>
        <w:t xml:space="preserve"> — Secondary report; underlying Cabinet instrument unavailable.</w:t>
      </w:r>
    </w:p>
    <w:p>
      <w:pPr>
        <w:pStyle w:val="Source"/>
      </w:pPr>
      <w:r>
        <w:rPr>
          <w:b/>
        </w:rPr>
        <w:t xml:space="preserve">7. Business Recorder | 1 Sep 2026 | </w:t>
      </w:r>
      <w:hyperlink r:id="rId15">
        <w:r>
          <w:rPr>
            <w:color w:val="2E5F7F"/>
          </w:rPr>
          <w:t>IHC directs authorities to reply on age verification</w:t>
        </w:r>
      </w:hyperlink>
      <w:r>
        <w:t xml:space="preserve"> — Secondary court report; authenticated order unavailable.</w:t>
      </w:r>
    </w:p>
    <w:p>
      <w:pPr>
        <w:pStyle w:val="Source"/>
      </w:pPr>
      <w:r>
        <w:rPr>
          <w:b/>
        </w:rPr>
        <w:t xml:space="preserve">8. HUM News | 1 Sep 2026 | </w:t>
      </w:r>
      <w:hyperlink r:id="rId31">
        <w:r>
          <w:rPr>
            <w:color w:val="2E5F7F"/>
          </w:rPr>
          <w:t>Punjab Assembly passes under-16 resolution</w:t>
        </w:r>
      </w:hyperlink>
      <w:r>
        <w:t xml:space="preserve"> — Secondary report; official resolution text unavailable.</w:t>
      </w:r>
    </w:p>
    <w:p>
      <w:pPr>
        <w:pStyle w:val="Source"/>
      </w:pPr>
      <w:r>
        <w:rPr>
          <w:b/>
        </w:rPr>
        <w:t xml:space="preserve">9. APP | 1 Sep 2026 | </w:t>
      </w:r>
      <w:hyperlink r:id="rId16">
        <w:r>
          <w:rPr>
            <w:color w:val="2E5F7F"/>
          </w:rPr>
          <w:t>NADRA–FBISE agreement</w:t>
        </w:r>
      </w:hyperlink>
      <w:r>
        <w:t xml:space="preserve"> — Official news agency; signed agreement not published.</w:t>
      </w:r>
    </w:p>
    <w:p>
      <w:pPr>
        <w:pStyle w:val="Source"/>
      </w:pPr>
      <w:r>
        <w:rPr>
          <w:b/>
        </w:rPr>
        <w:t xml:space="preserve">10. PID | 25 Jun 2026 | </w:t>
      </w:r>
      <w:hyperlink r:id="rId17">
        <w:r>
          <w:rPr>
            <w:color w:val="2E5F7F"/>
          </w:rPr>
          <w:t>CDWP project decisions</w:t>
        </w:r>
      </w:hyperlink>
      <w:r>
        <w:t xml:space="preserve"> — Primary government release.</w:t>
      </w:r>
    </w:p>
    <w:p>
      <w:pPr>
        <w:pStyle w:val="Source"/>
      </w:pPr>
      <w:r>
        <w:rPr>
          <w:b/>
        </w:rPr>
        <w:t xml:space="preserve">11. PID | 21 Aug 2026 | </w:t>
      </w:r>
      <w:hyperlink r:id="rId18">
        <w:r>
          <w:rPr>
            <w:color w:val="2E5F7F"/>
          </w:rPr>
          <w:t>Sovereign cloud and AI-powered trade ecosystem</w:t>
        </w:r>
      </w:hyperlink>
      <w:r>
        <w:t xml:space="preserve"> — Primary government release; exploratory consultations.</w:t>
      </w:r>
    </w:p>
    <w:p>
      <w:pPr>
        <w:pStyle w:val="Source"/>
      </w:pPr>
      <w:r>
        <w:rPr>
          <w:b/>
        </w:rPr>
        <w:t xml:space="preserve">12. APP | 1 Sep 2026 | </w:t>
      </w:r>
      <w:hyperlink r:id="rId20">
        <w:r>
          <w:rPr>
            <w:color w:val="2E5F7F"/>
          </w:rPr>
          <w:t>Pakistan–Saudi cloud and cyber cooperation</w:t>
        </w:r>
      </w:hyperlink>
      <w:r>
        <w:t xml:space="preserve"> — Official news agency; no instrument or budget.</w:t>
      </w:r>
    </w:p>
    <w:p>
      <w:pPr>
        <w:pStyle w:val="Source"/>
      </w:pPr>
      <w:r>
        <w:rPr>
          <w:b/>
        </w:rPr>
        <w:t xml:space="preserve">13. Arab News Pakistan | 1 Sep 2026 | </w:t>
      </w:r>
      <w:hyperlink r:id="rId21">
        <w:r>
          <w:rPr>
            <w:color w:val="2E5F7F"/>
          </w:rPr>
          <w:t>Open-source digital stack proposal</w:t>
        </w:r>
      </w:hyperlink>
      <w:r>
        <w:t xml:space="preserve"> — Secondary report; announced intention only.</w:t>
      </w:r>
    </w:p>
    <w:p>
      <w:pPr>
        <w:pStyle w:val="Source"/>
      </w:pPr>
      <w:r>
        <w:rPr>
          <w:b/>
        </w:rPr>
        <w:t xml:space="preserve">14. EPADS | live; accessed 1 Sep 2026 | </w:t>
      </w:r>
      <w:hyperlink r:id="rId19">
        <w:r>
          <w:rPr>
            <w:color w:val="2E5F7F"/>
          </w:rPr>
          <w:t>Open procurement opportunities</w:t>
        </w:r>
      </w:hyperlink>
      <w:r>
        <w:t xml:space="preserve"> — Primary procurement portal.</w:t>
      </w:r>
    </w:p>
    <w:p>
      <w:pPr>
        <w:pStyle w:val="Source"/>
      </w:pPr>
      <w:r>
        <w:rPr>
          <w:b/>
        </w:rPr>
        <w:t xml:space="preserve">15. PPRA | live; accessed 1 Sep 2026 | </w:t>
      </w:r>
      <w:hyperlink r:id="rId22">
        <w:r>
          <w:rPr>
            <w:color w:val="2E5F7F"/>
          </w:rPr>
          <w:t>Active services tenders</w:t>
        </w:r>
      </w:hyperlink>
      <w:r>
        <w:t xml:space="preserve"> — Primary procurement portal.</w:t>
      </w:r>
    </w:p>
    <w:p>
      <w:pPr>
        <w:pStyle w:val="Source"/>
      </w:pPr>
      <w:r>
        <w:rPr>
          <w:b/>
        </w:rPr>
        <w:t xml:space="preserve">16. APP | 1 Sep 2026 | </w:t>
      </w:r>
      <w:hyperlink r:id="rId32">
        <w:r>
          <w:rPr>
            <w:color w:val="2E5F7F"/>
          </w:rPr>
          <w:t>Khyber Pakhtunkhwa feed</w:t>
        </w:r>
      </w:hyperlink>
      <w:r>
        <w:t xml:space="preserve"> — Timestamped provincial feed.</w:t>
      </w:r>
    </w:p>
    <w:p>
      <w:pPr>
        <w:pStyle w:val="Source"/>
      </w:pPr>
      <w:r>
        <w:rPr>
          <w:b/>
        </w:rPr>
        <w:t xml:space="preserve">17. APP | 1 Sep 2026 | </w:t>
      </w:r>
      <w:hyperlink r:id="rId23">
        <w:r>
          <w:rPr>
            <w:color w:val="2E5F7F"/>
          </w:rPr>
          <w:t>Punjab feed</w:t>
        </w:r>
      </w:hyperlink>
      <w:r>
        <w:t xml:space="preserve"> — Timestamped provincial feed.</w:t>
      </w:r>
    </w:p>
    <w:p>
      <w:pPr>
        <w:pStyle w:val="Source"/>
      </w:pPr>
      <w:r>
        <w:rPr>
          <w:b/>
        </w:rPr>
        <w:t xml:space="preserve">18. PDA | 18 Aug 2026 | </w:t>
      </w:r>
      <w:hyperlink r:id="rId24">
        <w:r>
          <w:rPr>
            <w:color w:val="2E5F7F"/>
          </w:rPr>
          <w:t>Google opens office in Pakistan</w:t>
        </w:r>
      </w:hyperlink>
      <w:r>
        <w:t xml:space="preserve"> — Primary Pakistani authority statement.</w:t>
      </w:r>
    </w:p>
    <w:p>
      <w:pPr>
        <w:pStyle w:val="Source"/>
      </w:pPr>
      <w:r>
        <w:rPr>
          <w:b/>
        </w:rPr>
        <w:t xml:space="preserve">19. PID | 18 Aug 2026 | </w:t>
      </w:r>
      <w:hyperlink r:id="rId33">
        <w:r>
          <w:rPr>
            <w:color w:val="2E5F7F"/>
          </w:rPr>
          <w:t>Google office inauguration</w:t>
        </w:r>
      </w:hyperlink>
      <w:r>
        <w:t xml:space="preserve"> — Primary Pakistani government statement.</w:t>
      </w:r>
    </w:p>
    <w:p>
      <w:pPr>
        <w:pStyle w:val="Source"/>
      </w:pPr>
      <w:r>
        <w:rPr>
          <w:b/>
        </w:rPr>
        <w:t xml:space="preserve">20. Google | live; accessed 1 Sep 2026 | </w:t>
      </w:r>
      <w:hyperlink r:id="rId25">
        <w:r>
          <w:rPr>
            <w:color w:val="2E5F7F"/>
          </w:rPr>
          <w:t>Office locations</w:t>
        </w:r>
      </w:hyperlink>
      <w:r>
        <w:t xml:space="preserve"> — Canonical company directory; no Pakistan listing visible.</w:t>
      </w:r>
    </w:p>
    <w:p>
      <w:pPr>
        <w:pStyle w:val="Source"/>
      </w:pPr>
      <w:r>
        <w:rPr>
          <w:b/>
        </w:rPr>
        <w:t xml:space="preserve">21. Google Cloud | updated 9 Jul 2026; accessed 1 Sep | </w:t>
      </w:r>
      <w:hyperlink r:id="rId26">
        <w:r>
          <w:rPr>
            <w:color w:val="2E5F7F"/>
          </w:rPr>
          <w:t>Cloud locations</w:t>
        </w:r>
      </w:hyperlink>
      <w:r>
        <w:t xml:space="preserve"> — Canonical region/zone directory.</w:t>
      </w:r>
    </w:p>
    <w:p>
      <w:pPr>
        <w:pStyle w:val="Source"/>
      </w:pPr>
      <w:r>
        <w:rPr>
          <w:b/>
        </w:rPr>
        <w:t xml:space="preserve">22. Google | live; accessed 1 Sep 2026 | </w:t>
      </w:r>
      <w:hyperlink r:id="rId27">
        <w:r>
          <w:rPr>
            <w:color w:val="2E5F7F"/>
          </w:rPr>
          <w:t>Data-center locations</w:t>
        </w:r>
      </w:hyperlink>
      <w:r>
        <w:t xml:space="preserve"> — Canonical owned-data-centre directory.</w:t>
      </w:r>
    </w:p>
    <w:p>
      <w:pPr>
        <w:pStyle w:val="Source"/>
      </w:pPr>
      <w:r>
        <w:rPr>
          <w:b/>
        </w:rPr>
        <w:t xml:space="preserve">23. Google Careers | live; accessed 1 Sep 2026 | </w:t>
      </w:r>
      <w:hyperlink r:id="rId28">
        <w:r>
          <w:rPr>
            <w:color w:val="2E5F7F"/>
          </w:rPr>
          <w:t>Pakistan-matched roles</w:t>
        </w:r>
      </w:hyperlink>
      <w:r>
        <w:t xml:space="preserve"> — Live roles page; no item timestamps.</w:t>
      </w:r>
    </w:p>
    <w:p>
      <w:pPr>
        <w:pStyle w:val="Heading2"/>
      </w:pPr>
      <w:r>
        <w:t>Method and limitations</w:t>
      </w:r>
    </w:p>
    <w:p>
      <w:r>
        <w:t>Research compared live official registers, procurement portals, court/parliamentary pages, company directories, provincial feeds, and credible same-day reporting against the saved 16:40 UTC cutoff. Consequential claims were checked against primary sources where available. A no-change finding in a short interval is bounded, not absolute: later indexing, silently updated pages, unavailable documents, and absent timestamps can alter the record. Confidence measures evidence quality, not importance.</w:t>
      </w:r>
    </w:p>
    <w:sectPr w:rsidR="00FC693F" w:rsidRPr="0006063C" w:rsidSect="00034616">
      <w:headerReference w:type="default" r:id="rId9"/>
      <w:footerReference w:type="default" r:id="rId10"/>
      <w:pgSz w:w="12240" w:h="15840"/>
      <w:pgMar w:top="1123" w:right="1267" w:bottom="1080" w:left="1267"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76"/>
        <w:sz w:val="17"/>
      </w:rPr>
      <w:t xml:space="preserve">1 September 2026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F6B76"/>
        <w:sz w:val="17"/>
      </w:rPr>
      <w:t>PAKISTAN AI POLICY MONITOR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6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5F7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F6B7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490" w:hanging="245"/>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490" w:hanging="245"/>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80"/>
      <w:ind w:left="259" w:hanging="259"/>
    </w:pPr>
    <w:rPr>
      <w:rFonts w:ascii="Calibri" w:hAnsi="Calibri"/>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oitt.gov.pk/Policies" TargetMode="External"/><Relationship Id="rId12" Type="http://schemas.openxmlformats.org/officeDocument/2006/relationships/hyperlink" Target="https://www.na.gov.pk/en/acts-tenure.php" TargetMode="External"/><Relationship Id="rId13" Type="http://schemas.openxmlformats.org/officeDocument/2006/relationships/hyperlink" Target="https://tribune.com.pk/story/2626793/information-security-system-okayed" TargetMode="External"/><Relationship Id="rId14" Type="http://schemas.openxmlformats.org/officeDocument/2006/relationships/hyperlink" Target="https://pkcert.gov.pk/advisories.asp" TargetMode="External"/><Relationship Id="rId15" Type="http://schemas.openxmlformats.org/officeDocument/2006/relationships/hyperlink" Target="https://www.brecorder.com/news/40437291/social-media-age-verification-ihc-direct-authorities-to-submit-reply" TargetMode="External"/><Relationship Id="rId16" Type="http://schemas.openxmlformats.org/officeDocument/2006/relationships/hyperlink" Target="https://www.app.com.pk/national/nadra-fbise-sign-agreement-to-integrate-student-registration-educational-certificates-system/" TargetMode="External"/><Relationship Id="rId17" Type="http://schemas.openxmlformats.org/officeDocument/2006/relationships/hyperlink" Target="https://pid.gov.pk/site/press_detail/33093" TargetMode="External"/><Relationship Id="rId18" Type="http://schemas.openxmlformats.org/officeDocument/2006/relationships/hyperlink" Target="https://pid.gov.pk/site/press_detail/33671" TargetMode="External"/><Relationship Id="rId19" Type="http://schemas.openxmlformats.org/officeDocument/2006/relationships/hyperlink" Target="https://www.epads.gov.pk/" TargetMode="External"/><Relationship Id="rId20" Type="http://schemas.openxmlformats.org/officeDocument/2006/relationships/hyperlink" Target="https://www.app.com.pk/national/shaza-meets-saudi-minister-of-communications-and-information-technology/" TargetMode="External"/><Relationship Id="rId21" Type="http://schemas.openxmlformats.org/officeDocument/2006/relationships/hyperlink" Target="https://www.arabnews.pk/pakistan/minister-tells-saudi-expo-pakistan-will-share-digital-infrastructure-free-with-emerging-economies-3000008" TargetMode="External"/><Relationship Id="rId22" Type="http://schemas.openxmlformats.org/officeDocument/2006/relationships/hyperlink" Target="https://epms.ppra.gov.pk/public/tenders/active-tenders?procurement_category=3" TargetMode="External"/><Relationship Id="rId23" Type="http://schemas.openxmlformats.org/officeDocument/2006/relationships/hyperlink" Target="https://www.app.com.pk/punjab/" TargetMode="External"/><Relationship Id="rId24" Type="http://schemas.openxmlformats.org/officeDocument/2006/relationships/hyperlink" Target="https://pda.gov.pk/press-details.php?id=google-opens-office-in-pakistan" TargetMode="External"/><Relationship Id="rId25" Type="http://schemas.openxmlformats.org/officeDocument/2006/relationships/hyperlink" Target="https://about.google/company-info/locations/" TargetMode="External"/><Relationship Id="rId26" Type="http://schemas.openxmlformats.org/officeDocument/2006/relationships/hyperlink" Target="https://cloud.google.com/about/locations" TargetMode="External"/><Relationship Id="rId27" Type="http://schemas.openxmlformats.org/officeDocument/2006/relationships/hyperlink" Target="https://datacenters.google/locations/" TargetMode="External"/><Relationship Id="rId28" Type="http://schemas.openxmlformats.org/officeDocument/2006/relationships/hyperlink" Target="https://www.google.com/about/careers/applications/jobs/results?location=Pakistan" TargetMode="External"/><Relationship Id="rId29" Type="http://schemas.openxmlformats.org/officeDocument/2006/relationships/hyperlink" Target="https://moitt.gov.pk/SiteImage/Misc/files/National%20AI%20Policy.pdf" TargetMode="External"/><Relationship Id="rId30" Type="http://schemas.openxmlformats.org/officeDocument/2006/relationships/hyperlink" Target="https://pkcert.gov.pk/events/ciso-round-table-2026.asp" TargetMode="External"/><Relationship Id="rId31" Type="http://schemas.openxmlformats.org/officeDocument/2006/relationships/hyperlink" Target="https://humenglish.com/latest/punjab-assembly-passes-resolution-to-ban-social-media-accounts-for-under-16s/" TargetMode="External"/><Relationship Id="rId32" Type="http://schemas.openxmlformats.org/officeDocument/2006/relationships/hyperlink" Target="https://www.app.com.pk/kp/" TargetMode="External"/><Relationship Id="rId33" Type="http://schemas.openxmlformats.org/officeDocument/2006/relationships/hyperlink" Target="https://pid.gov.pk/site/press_detail/33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AI Policy &amp; Infrastructure Daily Brief — 1 September 2026</dc:title>
  <dc:subject>Pakistan AI, data regulation, cybersecurity, digital infrastructure, programs and investment</dc:subject>
  <dc:creator>Pakistan AI Policy Monitor</dc:creator>
  <cp:keywords>Pakistan, artificial intelligence, data protection, cybersecurity, cloud, data center, digital policy</cp:keywords>
  <dc:description>generated by python-docx</dc:description>
  <cp:lastModifiedBy/>
  <cp:revision>1</cp:revision>
  <dcterms:created xsi:type="dcterms:W3CDTF">2013-12-23T23:15:00Z</dcterms:created>
  <dcterms:modified xsi:type="dcterms:W3CDTF">2013-12-23T23:15:00Z</dcterms:modified>
  <cp:category/>
</cp:coreProperties>
</file>