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widowControl/>
        <w:spacing w:before="160"/>
      </w:pPr>
      <w:r>
        <w:t>DAILY MONITORING BRIEF</w:t>
      </w:r>
    </w:p>
    <w:p>
      <w:pPr>
        <w:pStyle w:val="Title"/>
        <w:widowControl/>
      </w:pPr>
      <w:r>
        <w:t>Pakistan AI Policy &amp; Infrastructure Daily Brief</w:t>
      </w:r>
    </w:p>
    <w:p>
      <w:pPr>
        <w:pStyle w:val="Subtitle"/>
        <w:widowControl/>
      </w:pPr>
      <w:r>
        <w:t>2 September 2026  |  Scheduled run at 22:19 EDT</w:t>
      </w:r>
    </w:p>
    <w:p>
      <w:pPr>
        <w:pStyle w:val="BriefMeta"/>
        <w:widowControl/>
      </w:pPr>
      <w:r>
        <w:rPr>
          <w:b/>
          <w:color w:val="0B2545"/>
        </w:rPr>
        <w:t xml:space="preserve">Research window: </w:t>
      </w:r>
      <w:r>
        <w:t>Previous cutoff 3 Sep 02:06 UTC / 07:06 PKT to 02:21 UTC / 07:21 PKT</w:t>
      </w:r>
    </w:p>
    <w:p>
      <w:pPr>
        <w:pStyle w:val="BriefMeta"/>
        <w:widowControl/>
      </w:pPr>
      <w:r>
        <w:rPr>
          <w:b/>
          <w:color w:val="0B2545"/>
        </w:rPr>
        <w:t xml:space="preserve">Coverage: </w:t>
      </w:r>
      <w:r>
        <w:t>Federal and provincial policy, data regulation, cybersecurity, infrastructure, procurement, investment and Google presence</w:t>
      </w:r>
    </w:p>
    <w:p>
      <w:pPr>
        <w:pStyle w:val="BriefMeta"/>
        <w:widowControl/>
      </w:pPr>
      <w:r>
        <w:rPr>
          <w:b/>
          <w:color w:val="0B2545"/>
        </w:rPr>
        <w:t xml:space="preserve">Bottom line: </w:t>
      </w:r>
      <w:r>
        <w:t>No material, timestamp-verifiable development was identified in the approximately 15-minute interval.</w:t>
      </w:r>
    </w:p>
    <w:p>
      <w:pPr>
        <w:spacing w:before="60" w:after="160" w:line="252" w:lineRule="auto"/>
        <w:ind w:left="144" w:right="144"/>
        <w:widowControl/>
        <w:shd w:fill="E8EEF5"/>
        <w:spacing w:before="120" w:after="120"/>
      </w:pPr>
      <w:r>
        <w:rPr>
          <w:b/>
          <w:color w:val="2E74B5"/>
        </w:rPr>
        <w:t xml:space="preserve">STRICT DELTA  </w:t>
      </w:r>
      <w:r>
        <w:t>No enactment, final policy, procurement result, funding release, operational infrastructure milestone, Google operating disclosure, or provincial delivery change was verified after the prior cutoff.</w:t>
      </w:r>
    </w:p>
    <w:p>
      <w:pPr>
        <w:pStyle w:val="Heading1"/>
        <w:widowControl/>
      </w:pPr>
      <w:r>
        <w:t>1. Executive summary</w:t>
      </w:r>
    </w:p>
    <w:p>
      <w:pPr>
        <w:pStyle w:val="ListBullet"/>
        <w:widowControl/>
        <w:spacing w:after="80" w:line="259" w:lineRule="auto"/>
        <w:ind w:left="691" w:hanging="331"/>
      </w:pPr>
      <w:r>
        <w:rPr>
          <w:b/>
        </w:rPr>
        <w:t>No material post-cutoff change:</w:t>
      </w:r>
      <w:r>
        <w:t xml:space="preserve"> the strict monitoring interval was about 15 minutes and occurred before Pakistan business hours. This is a bounded no-change finding, not proof that every unpublished action is absent.</w:t>
      </w:r>
    </w:p>
    <w:p>
      <w:pPr>
        <w:pStyle w:val="ListBullet"/>
        <w:widowControl/>
        <w:spacing w:after="80" w:line="259" w:lineRule="auto"/>
        <w:ind w:left="691" w:hanging="331"/>
      </w:pPr>
      <w:r>
        <w:rPr>
          <w:b/>
        </w:rPr>
        <w:t>AI policy remains approved, not newly implemented:</w:t>
      </w:r>
      <w:r>
        <w:t xml:space="preserve"> MoITT still lists the National AI Policy as approved on 31 July 2025, with no new implementation instrument or delivery evidence.</w:t>
      </w:r>
    </w:p>
    <w:p>
      <w:pPr>
        <w:pStyle w:val="ListBullet"/>
        <w:widowControl/>
        <w:spacing w:after="80" w:line="259" w:lineRule="auto"/>
        <w:ind w:left="691" w:hanging="331"/>
      </w:pPr>
      <w:r>
        <w:rPr>
          <w:b/>
        </w:rPr>
        <w:t>No comprehensive personal-data law was verified in force:</w:t>
      </w:r>
      <w:r>
        <w:t xml:space="preserve"> the Data Governance Policy 2026 and the May 2023 Personal Data Protection Bill remain drafts; DNP consent and technical specifications remain working drafts.</w:t>
      </w:r>
    </w:p>
    <w:p>
      <w:pPr>
        <w:pStyle w:val="ListBullet"/>
        <w:widowControl/>
        <w:spacing w:after="80" w:line="259" w:lineRule="auto"/>
        <w:ind w:left="691" w:hanging="331"/>
      </w:pPr>
      <w:r>
        <w:rPr>
          <w:b/>
        </w:rPr>
        <w:t>Infrastructure remains at approval or procurement stages:</w:t>
      </w:r>
      <w:r>
        <w:t xml:space="preserve"> the Emerging Technologies Data Centre and NAIEDP await ECNEC consideration; sovereign AI infrastructure remains open to bids, and AI Hubs has no published evaluation or award.</w:t>
      </w:r>
    </w:p>
    <w:p>
      <w:pPr>
        <w:pStyle w:val="ListBullet"/>
        <w:widowControl/>
        <w:spacing w:after="80" w:line="259" w:lineRule="auto"/>
        <w:ind w:left="691" w:hanging="331"/>
      </w:pPr>
      <w:r>
        <w:rPr>
          <w:b/>
        </w:rPr>
        <w:t>Google and provincial tracks are unchanged:</w:t>
      </w:r>
      <w:r>
        <w:t xml:space="preserve"> Pakistan-side sources support an August Islamabad inauguration and an AI Centre plan, but canonical Google directories still do not list a Pakistan office, Cloud region or owned data centre.</w:t>
      </w:r>
    </w:p>
    <w:p>
      <w:pPr>
        <w:pStyle w:val="Heading1"/>
        <w:widowControl/>
      </w:pPr>
      <w:r>
        <w:t>2. Policy, regulation, and governance</w:t>
      </w:r>
    </w:p>
    <w:p>
      <w:pPr>
        <w:pStyle w:val="Heading2"/>
        <w:widowControl/>
      </w:pPr>
      <w:r>
        <w:t>National Artificial Intelligence Policy</w:t>
      </w:r>
    </w:p>
    <w:p>
      <w:pPr>
        <w:pStyle w:val="ItemMeta"/>
        <w:widowControl/>
      </w:pPr>
      <w:r>
        <w:rPr>
          <w:b/>
          <w:color w:val="2E74B5"/>
        </w:rPr>
        <w:t xml:space="preserve">STATUS  </w:t>
      </w:r>
      <w:r>
        <w:t xml:space="preserve">Approved policy; no new implementation instrument   </w:t>
      </w:r>
      <w:r>
        <w:rPr>
          <w:b/>
          <w:color w:val="5F6B76"/>
        </w:rPr>
        <w:t xml:space="preserve">INSTITUTION / LOCATION  </w:t>
      </w:r>
      <w:r>
        <w:t xml:space="preserve">Ministry of IT &amp; Telecommunication (MoITT), federal   </w:t>
      </w:r>
      <w:r>
        <w:rPr>
          <w:b/>
          <w:color w:val="2E74B5"/>
        </w:rPr>
        <w:t xml:space="preserve">CONFIDENCE  </w:t>
      </w:r>
      <w:r>
        <w:t xml:space="preserve">High for register status; medium-high for bounded absence   </w:t>
      </w:r>
    </w:p>
    <w:p>
      <w:pPr>
        <w:widowControl/>
      </w:pPr>
      <w:r>
        <w:rPr>
          <w:b/>
          <w:color w:val="0B2545"/>
        </w:rPr>
        <w:t xml:space="preserve">Evidence: </w:t>
      </w:r>
      <w:r>
        <w:t>The live MoITT policy register continues to show “National Artificial Intelligence Policy” as Approved, dated 31 July 2025. The policy PDF sets 2026-27 targets, but a target is not proof of delivery.</w:t>
      </w:r>
    </w:p>
    <w:p>
      <w:pPr>
        <w:widowControl/>
      </w:pPr>
      <w:r>
        <w:rPr>
          <w:b/>
          <w:color w:val="0B2545"/>
        </w:rPr>
        <w:t xml:space="preserve">What changed: </w:t>
      </w:r>
      <w:r>
        <w:t>Nothing after 02:06 UTC: no rules, implementation schedule, regulator notice, public AI-system register, audit framework, budget release or delivered target was found.</w:t>
      </w:r>
    </w:p>
    <w:p>
      <w:pPr>
        <w:widowControl/>
      </w:pPr>
      <w:r>
        <w:rPr>
          <w:b/>
          <w:color w:val="0B2545"/>
        </w:rPr>
        <w:t xml:space="preserve">Why it matters: </w:t>
      </w:r>
      <w:r>
        <w:t>Companies and public bodies should treat the policy as strategic direction. Procurement, compliance and investment decisions still require operative instruments, funded projects or contracts.</w:t>
      </w:r>
    </w:p>
    <w:p>
      <w:pPr>
        <w:pStyle w:val="Heading2"/>
        <w:widowControl/>
      </w:pPr>
      <w:r>
        <w:t>Parliamentary and judicial track</w:t>
      </w:r>
    </w:p>
    <w:p>
      <w:pPr>
        <w:pStyle w:val="ItemMeta"/>
        <w:widowControl/>
      </w:pPr>
      <w:r>
        <w:rPr>
          <w:b/>
          <w:color w:val="2E74B5"/>
        </w:rPr>
        <w:t xml:space="preserve">STATUS  </w:t>
      </w:r>
      <w:r>
        <w:t xml:space="preserve">No new disposition; one recycled court report excluded   </w:t>
      </w:r>
      <w:r>
        <w:rPr>
          <w:b/>
          <w:color w:val="5F6B76"/>
        </w:rPr>
        <w:t xml:space="preserve">INSTITUTION / LOCATION  </w:t>
      </w:r>
      <w:r>
        <w:t xml:space="preserve">Parliament and Islamabad High Court   </w:t>
      </w:r>
      <w:r>
        <w:rPr>
          <w:b/>
          <w:color w:val="2E74B5"/>
        </w:rPr>
        <w:t xml:space="preserve">CONFIDENCE  </w:t>
      </w:r>
      <w:r>
        <w:t xml:space="preserve">High on deduplication; medium on court status because the order PDF was not located   </w:t>
      </w:r>
    </w:p>
    <w:p>
      <w:pPr>
        <w:widowControl/>
      </w:pPr>
      <w:r>
        <w:rPr>
          <w:b/>
          <w:color w:val="0B2545"/>
        </w:rPr>
        <w:t xml:space="preserve">Evidence: </w:t>
      </w:r>
      <w:r>
        <w:t>A 3 September Daily Times article about an under-16 social-media petition repeats an Islamabad High Court proceeding already reported by Dawn on 31 August. Respondents were asked to reply; no final rule or judgment was established.</w:t>
      </w:r>
    </w:p>
    <w:p>
      <w:pPr>
        <w:widowControl/>
      </w:pPr>
      <w:r>
        <w:rPr>
          <w:b/>
          <w:color w:val="0B2545"/>
        </w:rPr>
        <w:t xml:space="preserve">What changed: </w:t>
      </w:r>
      <w:r>
        <w:t>No post-cutoff bill passage, withdrawal, committee decision, gazette, rule or judgment was verified.</w:t>
      </w:r>
    </w:p>
    <w:p>
      <w:pPr>
        <w:widowControl/>
      </w:pPr>
      <w:r>
        <w:rPr>
          <w:b/>
          <w:color w:val="0B2545"/>
        </w:rPr>
        <w:t xml:space="preserve">Why it matters: </w:t>
      </w:r>
      <w:r>
        <w:t>A request for comments is procedural, not a binding child-safety or platform-governance regime. Platforms should watch the case but should not infer a new age restriction.</w:t>
      </w:r>
    </w:p>
    <w:p>
      <w:pPr>
        <w:pStyle w:val="Heading1"/>
        <w:widowControl/>
      </w:pPr>
      <w:r>
        <w:t>3. Data regulation, digital policy, and cybersecurity</w:t>
      </w:r>
    </w:p>
    <w:p>
      <w:pPr>
        <w:pStyle w:val="Heading2"/>
        <w:widowControl/>
      </w:pPr>
      <w:r>
        <w:t>Data Governance Policy 2026 and personal-data protection</w:t>
      </w:r>
    </w:p>
    <w:p>
      <w:pPr>
        <w:pStyle w:val="ItemMeta"/>
        <w:widowControl/>
      </w:pPr>
      <w:r>
        <w:rPr>
          <w:b/>
          <w:color w:val="2E74B5"/>
        </w:rPr>
        <w:t xml:space="preserve">STATUS  </w:t>
      </w:r>
      <w:r>
        <w:t xml:space="preserve">Draft / proposed; no comprehensive horizontal statute verified in force   </w:t>
      </w:r>
      <w:r>
        <w:rPr>
          <w:b/>
          <w:color w:val="5F6B76"/>
        </w:rPr>
        <w:t xml:space="preserve">INSTITUTION / LOCATION  </w:t>
      </w:r>
      <w:r>
        <w:t xml:space="preserve">MoITT and Pakistan Digital Authority (PDA), federal   </w:t>
      </w:r>
      <w:r>
        <w:rPr>
          <w:b/>
          <w:color w:val="2E74B5"/>
        </w:rPr>
        <w:t xml:space="preserve">CONFIDENCE  </w:t>
      </w:r>
      <w:r>
        <w:t xml:space="preserve">High for official-register state; medium-high for bounded absence   </w:t>
      </w:r>
    </w:p>
    <w:p>
      <w:pPr>
        <w:widowControl/>
      </w:pPr>
      <w:r>
        <w:rPr>
          <w:b/>
          <w:color w:val="0B2545"/>
        </w:rPr>
        <w:t xml:space="preserve">Evidence: </w:t>
      </w:r>
      <w:r>
        <w:t>MoITT still lists the Data Governance Policy 2026 as Draft, dated 26 June 2026, and its legislation register still exposes the May 2023 Personal Data Protection Bill as Draft. PDA’s Acts &amp; Regulations page lists the Digital Nation Pakistan Act 2025 and says further instruments will be posted.</w:t>
      </w:r>
    </w:p>
    <w:p>
      <w:pPr>
        <w:widowControl/>
      </w:pPr>
      <w:r>
        <w:rPr>
          <w:b/>
          <w:color w:val="0B2545"/>
        </w:rPr>
        <w:t xml:space="preserve">What changed: </w:t>
      </w:r>
      <w:r>
        <w:t>No final notification, enactment, commencement provision, regulator rule or binding compliance timetable appeared after the cutoff.</w:t>
      </w:r>
    </w:p>
    <w:p>
      <w:pPr>
        <w:widowControl/>
      </w:pPr>
      <w:r>
        <w:rPr>
          <w:b/>
          <w:color w:val="0B2545"/>
        </w:rPr>
        <w:t xml:space="preserve">Why it matters: </w:t>
      </w:r>
      <w:r>
        <w:t>No new generally applicable controller/processor, consent, children’s-data, automated-decision, cross-border-transfer, localisation, breach, retention, rights, audit or penalty obligation arose in this interval. Public bodies and vendors still need project-level clauses covering lawful authority, minimisation, hosting and transfers, access logs, retention/deletion, incident response, human review, audit, redress and exit.</w:t>
      </w:r>
    </w:p>
    <w:p>
      <w:pPr>
        <w:pStyle w:val="Heading2"/>
        <w:widowControl/>
      </w:pPr>
      <w:r>
        <w:t>Digital Nation Pakistan standards (WASL/DNP)</w:t>
      </w:r>
    </w:p>
    <w:p>
      <w:pPr>
        <w:pStyle w:val="ItemMeta"/>
        <w:widowControl/>
      </w:pPr>
      <w:r>
        <w:rPr>
          <w:b/>
          <w:color w:val="2E74B5"/>
        </w:rPr>
        <w:t xml:space="preserve">STATUS  </w:t>
      </w:r>
      <w:r>
        <w:t xml:space="preserve">Pilot / working draft   </w:t>
      </w:r>
      <w:r>
        <w:rPr>
          <w:b/>
          <w:color w:val="5F6B76"/>
        </w:rPr>
        <w:t xml:space="preserve">INSTITUTION / LOCATION  </w:t>
      </w:r>
      <w:r>
        <w:t xml:space="preserve">Pakistan Digital Authority standards register   </w:t>
      </w:r>
      <w:r>
        <w:rPr>
          <w:b/>
          <w:color w:val="2E74B5"/>
        </w:rPr>
        <w:t xml:space="preserve">CONFIDENCE  </w:t>
      </w:r>
      <w:r>
        <w:t xml:space="preserve">High   </w:t>
      </w:r>
    </w:p>
    <w:p>
      <w:pPr>
        <w:widowControl/>
      </w:pPr>
      <w:r>
        <w:rPr>
          <w:b/>
          <w:color w:val="0B2545"/>
        </w:rPr>
        <w:t xml:space="preserve">Evidence: </w:t>
      </w:r>
      <w:r>
        <w:t>The live register remains at four Pilot publications. DNP-X.001 and DNP-D.002 are published; DNP-D.250 Consent Guideline and DNP-D.300 Technical Specification remain WD, dated 26 April 2026.</w:t>
      </w:r>
    </w:p>
    <w:p>
      <w:pPr>
        <w:widowControl/>
      </w:pPr>
      <w:r>
        <w:rPr>
          <w:b/>
          <w:color w:val="0B2545"/>
        </w:rPr>
        <w:t xml:space="preserve">What changed: </w:t>
      </w:r>
      <w:r>
        <w:t>No mature, final or gazetted standard was added.</w:t>
      </w:r>
    </w:p>
    <w:p>
      <w:pPr>
        <w:widowControl/>
      </w:pPr>
      <w:r>
        <w:rPr>
          <w:b/>
          <w:color w:val="0B2545"/>
        </w:rPr>
        <w:t xml:space="preserve">Why it matters: </w:t>
      </w:r>
      <w:r>
        <w:t>Agencies can use these documents as design guidance, but procurement and compliance teams should distinguish working drafts from binding technical obligations.</w:t>
      </w:r>
    </w:p>
    <w:p>
      <w:pPr>
        <w:pStyle w:val="Heading2"/>
        <w:widowControl/>
      </w:pPr>
      <w:r>
        <w:t>National CERT advisories</w:t>
      </w:r>
    </w:p>
    <w:p>
      <w:pPr>
        <w:pStyle w:val="ItemMeta"/>
        <w:widowControl/>
      </w:pPr>
      <w:r>
        <w:rPr>
          <w:b/>
          <w:color w:val="2E74B5"/>
        </w:rPr>
        <w:t xml:space="preserve">STATUS  </w:t>
      </w:r>
      <w:r>
        <w:t xml:space="preserve">Operational advisory register unchanged   </w:t>
      </w:r>
      <w:r>
        <w:rPr>
          <w:b/>
          <w:color w:val="5F6B76"/>
        </w:rPr>
        <w:t xml:space="preserve">INSTITUTION / LOCATION  </w:t>
      </w:r>
      <w:r>
        <w:t xml:space="preserve">PKCERT, Islamabad   </w:t>
      </w:r>
      <w:r>
        <w:rPr>
          <w:b/>
          <w:color w:val="2E74B5"/>
        </w:rPr>
        <w:t xml:space="preserve">CONFIDENCE  </w:t>
      </w:r>
      <w:r>
        <w:t xml:space="preserve">High for the register; medium-high for bounded absence   </w:t>
      </w:r>
    </w:p>
    <w:p>
      <w:pPr>
        <w:widowControl/>
      </w:pPr>
      <w:r>
        <w:rPr>
          <w:b/>
          <w:color w:val="0B2545"/>
        </w:rPr>
        <w:t xml:space="preserve">Evidence: </w:t>
      </w:r>
      <w:r>
        <w:t>PKCERT’s 2026 register remains capped at Advisory No. 17. No Advisory 18, PISF operating notice, rule or implementation circular was found.</w:t>
      </w:r>
    </w:p>
    <w:p>
      <w:pPr>
        <w:widowControl/>
      </w:pPr>
      <w:r>
        <w:rPr>
          <w:b/>
          <w:color w:val="0B2545"/>
        </w:rPr>
        <w:t xml:space="preserve">What changed: </w:t>
      </w:r>
      <w:r>
        <w:t>No post-cutoff cyber-policy or advisory publication was verified.</w:t>
      </w:r>
    </w:p>
    <w:p>
      <w:pPr>
        <w:widowControl/>
      </w:pPr>
      <w:r>
        <w:rPr>
          <w:b/>
          <w:color w:val="0B2545"/>
        </w:rPr>
        <w:t xml:space="preserve">Why it matters: </w:t>
      </w:r>
      <w:r>
        <w:t>The absence of a new advisory does not reduce operational exposure. Organisations should continue incident reporting, patching and sector-specific compliance under existing controls.</w:t>
      </w:r>
    </w:p>
    <w:p>
      <w:pPr>
        <w:pStyle w:val="Heading1"/>
        <w:widowControl/>
      </w:pPr>
      <w:r>
        <w:t>4. Google in Pakistan</w:t>
      </w:r>
    </w:p>
    <w:p>
      <w:pPr>
        <w:pStyle w:val="Heading2"/>
        <w:widowControl/>
      </w:pPr>
      <w:r>
        <w:t>Physical presence, staffing and AI Centre</w:t>
      </w:r>
    </w:p>
    <w:p>
      <w:pPr>
        <w:pStyle w:val="ItemMeta"/>
        <w:widowControl/>
      </w:pPr>
      <w:r>
        <w:rPr>
          <w:b/>
          <w:color w:val="2E74B5"/>
        </w:rPr>
        <w:t xml:space="preserve">STATUS  </w:t>
      </w:r>
      <w:r>
        <w:t xml:space="preserve">Pakistan-side inauguration and MoU claims; canonical details unresolved   </w:t>
      </w:r>
      <w:r>
        <w:rPr>
          <w:b/>
          <w:color w:val="5F6B76"/>
        </w:rPr>
        <w:t xml:space="preserve">INSTITUTION / LOCATION  </w:t>
      </w:r>
      <w:r>
        <w:t xml:space="preserve">Google / Government of Pakistan, Islamabad and Karachi   </w:t>
      </w:r>
      <w:r>
        <w:rPr>
          <w:b/>
          <w:color w:val="2E74B5"/>
        </w:rPr>
        <w:t xml:space="preserve">CONFIDENCE  </w:t>
      </w:r>
      <w:r>
        <w:t xml:space="preserve">High for displayed directories; medium-high for bounded no-change   </w:t>
      </w:r>
    </w:p>
    <w:p>
      <w:pPr>
        <w:widowControl/>
      </w:pPr>
      <w:r>
        <w:rPr>
          <w:b/>
          <w:color w:val="0B2545"/>
        </w:rPr>
        <w:t xml:space="preserve">Evidence: </w:t>
      </w:r>
      <w:r>
        <w:t>Pakistani official releases record an 18 August Islamabad office inauguration and a later MoU describing an AI Centre of Excellence. Google’s corporate-office directory still lists no Pakistan address; its owned-data-centre directory and Cloud region directory show no Pakistan site. The Pakistan Careers filter remains at three undated matches, two explicitly in Karachi.</w:t>
      </w:r>
    </w:p>
    <w:p>
      <w:pPr>
        <w:widowControl/>
      </w:pPr>
      <w:r>
        <w:rPr>
          <w:b/>
          <w:color w:val="0B2545"/>
        </w:rPr>
        <w:t xml:space="preserve">What changed: </w:t>
      </w:r>
      <w:r>
        <w:t>No new premises address, office type, legal or employing entity, occupancy, headcount, completed hire, mandate, realised investment, AI Centre delivery, processing location, transfer route or residency commitment appeared.</w:t>
      </w:r>
    </w:p>
    <w:p>
      <w:pPr>
        <w:widowControl/>
      </w:pPr>
      <w:r>
        <w:rPr>
          <w:b/>
          <w:color w:val="0B2545"/>
        </w:rPr>
        <w:t xml:space="preserve">Why it matters: </w:t>
      </w:r>
      <w:r>
        <w:t>A representative or commercial office, hiring activity and training partnership do not establish a Cloud region, local processing, data localisation or data residency. Tax, competition, platform, cybersecurity and transfer implications remain fact-specific and unresolved.</w:t>
      </w:r>
    </w:p>
    <w:p>
      <w:pPr>
        <w:pStyle w:val="Heading1"/>
        <w:widowControl/>
      </w:pPr>
      <w:r>
        <w:t>5. AI and digital infrastructure</w:t>
      </w:r>
    </w:p>
    <w:p>
      <w:pPr>
        <w:pStyle w:val="Heading2"/>
        <w:widowControl/>
      </w:pPr>
      <w:r>
        <w:t>Emerging Technologies Data Centre and NAIEDP</w:t>
      </w:r>
    </w:p>
    <w:p>
      <w:pPr>
        <w:pStyle w:val="ItemMeta"/>
        <w:widowControl/>
      </w:pPr>
      <w:r>
        <w:rPr>
          <w:b/>
          <w:color w:val="2E74B5"/>
        </w:rPr>
        <w:t xml:space="preserve">STATUS  </w:t>
      </w:r>
      <w:r>
        <w:t xml:space="preserve">CDWP in-principle recommendation; ECNEC decision not verified   </w:t>
      </w:r>
      <w:r>
        <w:rPr>
          <w:b/>
          <w:color w:val="5F6B76"/>
        </w:rPr>
        <w:t xml:space="preserve">INSTITUTION / LOCATION  </w:t>
      </w:r>
      <w:r>
        <w:t xml:space="preserve">Planning Commission / MoITT, federal   </w:t>
      </w:r>
      <w:r>
        <w:rPr>
          <w:b/>
          <w:color w:val="2E74B5"/>
        </w:rPr>
        <w:t xml:space="preserve">CONFIDENCE  </w:t>
      </w:r>
      <w:r>
        <w:t xml:space="preserve">High for CDWP status; medium-high for bounded absence   </w:t>
      </w:r>
    </w:p>
    <w:p>
      <w:pPr>
        <w:widowControl/>
      </w:pPr>
      <w:r>
        <w:rPr>
          <w:b/>
          <w:color w:val="0B2545"/>
        </w:rPr>
        <w:t xml:space="preserve">Evidence: </w:t>
      </w:r>
      <w:r>
        <w:t>On 25 June 2026, CDWP recommended the PKR 7.93 billion Emerging Technologies Data Centre and PKR 13 billion National AI Ecosystem Development Program to ECNEC. The data-centre proposal is described as sovereign government AI/HPC infrastructure; NAIEDP includes a feasibility study and upgraded PC-I.</w:t>
      </w:r>
    </w:p>
    <w:p>
      <w:pPr>
        <w:widowControl/>
      </w:pPr>
      <w:r>
        <w:rPr>
          <w:b/>
          <w:color w:val="0B2545"/>
        </w:rPr>
        <w:t xml:space="preserve">What changed: </w:t>
      </w:r>
      <w:r>
        <w:t>No ECNEC approval, funding release, procurement, site, accelerator inventory, IT-load figure, commissioning or acceptance evidence appeared after the cutoff.</w:t>
      </w:r>
    </w:p>
    <w:p>
      <w:pPr>
        <w:widowControl/>
      </w:pPr>
      <w:r>
        <w:rPr>
          <w:b/>
          <w:color w:val="0B2545"/>
        </w:rPr>
        <w:t xml:space="preserve">Why it matters: </w:t>
      </w:r>
      <w:r>
        <w:t>The proposals could materially expand public compute, but neither capacity nor availability should be counted until approval, funding, acquisition, power/cooling design and commissioning are evidenced.</w:t>
      </w:r>
    </w:p>
    <w:p>
      <w:pPr>
        <w:pStyle w:val="Heading2"/>
        <w:widowControl/>
      </w:pPr>
      <w:r>
        <w:t>Sovereign National AI Infrastructure</w:t>
      </w:r>
    </w:p>
    <w:p>
      <w:pPr>
        <w:pStyle w:val="ItemMeta"/>
        <w:widowControl/>
      </w:pPr>
      <w:r>
        <w:rPr>
          <w:b/>
          <w:color w:val="2E74B5"/>
        </w:rPr>
        <w:t xml:space="preserve">STATUS  </w:t>
      </w:r>
      <w:r>
        <w:t xml:space="preserve">Tendered / open   </w:t>
      </w:r>
      <w:r>
        <w:rPr>
          <w:b/>
          <w:color w:val="5F6B76"/>
        </w:rPr>
        <w:t xml:space="preserve">INSTITUTION / LOCATION  </w:t>
      </w:r>
      <w:r>
        <w:t xml:space="preserve">Ignite National Technology Fund, Islamabad   </w:t>
      </w:r>
      <w:r>
        <w:rPr>
          <w:b/>
          <w:color w:val="2E74B5"/>
        </w:rPr>
        <w:t xml:space="preserve">CONFIDENCE  </w:t>
      </w:r>
      <w:r>
        <w:t xml:space="preserve">High   </w:t>
      </w:r>
    </w:p>
    <w:p>
      <w:pPr>
        <w:widowControl/>
      </w:pPr>
      <w:r>
        <w:rPr>
          <w:b/>
          <w:color w:val="0B2545"/>
        </w:rPr>
        <w:t xml:space="preserve">Evidence: </w:t>
      </w:r>
      <w:r>
        <w:t>PPRA tender TS0000010170E remains open for design, deployment, operation and maintenance of sovereign AI infrastructure under the National AI Innovation Hub. Closing is 21 September 2026 at 15:00 PKT; bid security is PKR 2 million.</w:t>
      </w:r>
    </w:p>
    <w:p>
      <w:pPr>
        <w:widowControl/>
      </w:pPr>
      <w:r>
        <w:rPr>
          <w:b/>
          <w:color w:val="0B2545"/>
        </w:rPr>
        <w:t xml:space="preserve">What changed: </w:t>
      </w:r>
      <w:r>
        <w:t>No corrigendum, evaluation, award, contract, delivery or operational milestone was verified.</w:t>
      </w:r>
    </w:p>
    <w:p>
      <w:pPr>
        <w:widowControl/>
      </w:pPr>
      <w:r>
        <w:rPr>
          <w:b/>
          <w:color w:val="0B2545"/>
        </w:rPr>
        <w:t xml:space="preserve">Why it matters: </w:t>
      </w:r>
      <w:r>
        <w:t>The RFP signals demand for locally controlled compute, but tender publication is not installed capacity. Key unanswered questions include GPUs, allocatable capacity, customer access, pricing, data controls and acceptance tests.</w:t>
      </w:r>
    </w:p>
    <w:p>
      <w:pPr>
        <w:pStyle w:val="Heading2"/>
        <w:widowControl/>
      </w:pPr>
      <w:r>
        <w:t>Connectivity and compute-energy dependencies</w:t>
      </w:r>
    </w:p>
    <w:p>
      <w:pPr>
        <w:pStyle w:val="ItemMeta"/>
        <w:widowControl/>
      </w:pPr>
      <w:r>
        <w:rPr>
          <w:b/>
          <w:color w:val="2E74B5"/>
        </w:rPr>
        <w:t xml:space="preserve">STATUS  </w:t>
      </w:r>
      <w:r>
        <w:t xml:space="preserve">No new deployment or energy commitment   </w:t>
      </w:r>
      <w:r>
        <w:rPr>
          <w:b/>
          <w:color w:val="5F6B76"/>
        </w:rPr>
        <w:t xml:space="preserve">INSTITUTION / LOCATION  </w:t>
      </w:r>
      <w:r>
        <w:t xml:space="preserve">Federal operators, utilities and prospective data-centre developers   </w:t>
      </w:r>
      <w:r>
        <w:rPr>
          <w:b/>
          <w:color w:val="7A5A00"/>
        </w:rPr>
        <w:t xml:space="preserve">CONFIDENCE  </w:t>
      </w:r>
      <w:r>
        <w:t xml:space="preserve">Medium for ecosystem-wide absence   </w:t>
      </w:r>
    </w:p>
    <w:p>
      <w:pPr>
        <w:widowControl/>
      </w:pPr>
      <w:r>
        <w:rPr>
          <w:b/>
          <w:color w:val="0B2545"/>
        </w:rPr>
        <w:t xml:space="preserve">Evidence: </w:t>
      </w:r>
      <w:r>
        <w:t>No post-cutoff evidence disclosed a new Cloud region, data-centre IT MW, grid connection, PPA, tariff, redundant feed, backup/BESS, cooling/water design, fibre route, certification, PUE/WUE, customer or utilisation figure.</w:t>
      </w:r>
    </w:p>
    <w:p>
      <w:pPr>
        <w:widowControl/>
      </w:pPr>
      <w:r>
        <w:rPr>
          <w:b/>
          <w:color w:val="0B2545"/>
        </w:rPr>
        <w:t xml:space="preserve">What changed: </w:t>
      </w:r>
      <w:r>
        <w:t>No change.</w:t>
      </w:r>
    </w:p>
    <w:p>
      <w:pPr>
        <w:widowControl/>
      </w:pPr>
      <w:r>
        <w:rPr>
          <w:b/>
          <w:color w:val="0B2545"/>
        </w:rPr>
        <w:t xml:space="preserve">Why it matters: </w:t>
      </w:r>
      <w:r>
        <w:t>Power availability claims alone do not establish data-centre readiness. Bankable capacity requires site-specific grid, resilience, cooling, connectivity, permitting and commissioning evidence.</w:t>
      </w:r>
    </w:p>
    <w:p>
      <w:pPr>
        <w:pStyle w:val="Heading1"/>
        <w:widowControl/>
      </w:pPr>
      <w:r>
        <w:t>6. Programs, funding, and investment</w:t>
      </w:r>
    </w:p>
    <w:p>
      <w:pPr>
        <w:pStyle w:val="Heading2"/>
        <w:widowControl/>
      </w:pPr>
      <w:r>
        <w:t>National AI Hubs</w:t>
      </w:r>
    </w:p>
    <w:p>
      <w:pPr>
        <w:pStyle w:val="ItemMeta"/>
        <w:widowControl/>
      </w:pPr>
      <w:r>
        <w:rPr>
          <w:b/>
          <w:color w:val="2E74B5"/>
        </w:rPr>
        <w:t xml:space="preserve">STATUS  </w:t>
      </w:r>
      <w:r>
        <w:t xml:space="preserve">Closed for bids; pre-result   </w:t>
      </w:r>
      <w:r>
        <w:rPr>
          <w:b/>
          <w:color w:val="5F6B76"/>
        </w:rPr>
        <w:t xml:space="preserve">INSTITUTION / LOCATION  </w:t>
      </w:r>
      <w:r>
        <w:t xml:space="preserve">Digital Emerging Technologies / MoITT, nationwide   </w:t>
      </w:r>
      <w:r>
        <w:rPr>
          <w:b/>
          <w:color w:val="2E74B5"/>
        </w:rPr>
        <w:t xml:space="preserve">CONFIDENCE  </w:t>
      </w:r>
      <w:r>
        <w:t xml:space="preserve">High   </w:t>
      </w:r>
    </w:p>
    <w:p>
      <w:pPr>
        <w:widowControl/>
      </w:pPr>
      <w:r>
        <w:rPr>
          <w:b/>
          <w:color w:val="0B2545"/>
        </w:rPr>
        <w:t xml:space="preserve">Evidence: </w:t>
      </w:r>
      <w:r>
        <w:t>PPRA tender TS0000010287E for establishment of AI Hubs closed on 31 August 2026 after a corrigendum. The live listing exposes no evaluation or award.</w:t>
      </w:r>
    </w:p>
    <w:p>
      <w:pPr>
        <w:widowControl/>
      </w:pPr>
      <w:r>
        <w:rPr>
          <w:b/>
          <w:color w:val="0B2545"/>
        </w:rPr>
        <w:t xml:space="preserve">What changed: </w:t>
      </w:r>
      <w:r>
        <w:t>No technical evaluation, grievance decision, financial evaluation, award or contract appeared.</w:t>
      </w:r>
    </w:p>
    <w:p>
      <w:pPr>
        <w:widowControl/>
      </w:pPr>
      <w:r>
        <w:rPr>
          <w:b/>
          <w:color w:val="0B2545"/>
        </w:rPr>
        <w:t xml:space="preserve">Why it matters: </w:t>
      </w:r>
      <w:r>
        <w:t>Training and innovation capacity should not be treated as delivered until locations, operators, budgets, equipment, safeguards and acceptance are published.</w:t>
      </w:r>
    </w:p>
    <w:p>
      <w:pPr>
        <w:pStyle w:val="Heading2"/>
        <w:widowControl/>
      </w:pPr>
      <w:r>
        <w:t>Immediate 3 September infrastructure and security procurements</w:t>
      </w:r>
    </w:p>
    <w:p>
      <w:pPr>
        <w:pStyle w:val="ItemMeta"/>
        <w:widowControl/>
      </w:pPr>
      <w:r>
        <w:rPr>
          <w:b/>
          <w:color w:val="2E74B5"/>
        </w:rPr>
        <w:t xml:space="preserve">STATUS  </w:t>
      </w:r>
      <w:r>
        <w:t xml:space="preserve">Tendered; still pre-opening at research cutoff   </w:t>
      </w:r>
      <w:r>
        <w:rPr>
          <w:b/>
          <w:color w:val="5F6B76"/>
        </w:rPr>
        <w:t xml:space="preserve">INSTITUTION / LOCATION  </w:t>
      </w:r>
      <w:r>
        <w:t xml:space="preserve">NDRMF, NADRA, NTC, WAPDA and PSO; Islamabad, Lahore and Karachi   </w:t>
      </w:r>
      <w:r>
        <w:rPr>
          <w:b/>
          <w:color w:val="2E74B5"/>
        </w:rPr>
        <w:t xml:space="preserve">CONFIDENCE  </w:t>
      </w:r>
      <w:r>
        <w:t xml:space="preserve">High for deadlines; medium-high for bounded absence   </w:t>
      </w:r>
    </w:p>
    <w:p>
      <w:pPr>
        <w:widowControl/>
      </w:pPr>
      <w:r>
        <w:rPr>
          <w:b/>
          <w:color w:val="0B2545"/>
        </w:rPr>
        <w:t xml:space="preserve">Evidence: </w:t>
      </w:r>
      <w:r>
        <w:t>The monitored deadlines had not arrived by 07:21 PKT: NDRMF SIEM at 10:00/10:30; NADRA generator tenders and NTC test equipment at 11:00/11:30; WAPDA Lahore data-centre renovation at 14:00/14:30; PSO privileged-access-management licences at 14:15/15:00.</w:t>
      </w:r>
    </w:p>
    <w:p>
      <w:pPr>
        <w:widowControl/>
      </w:pPr>
      <w:r>
        <w:rPr>
          <w:b/>
          <w:color w:val="0B2545"/>
        </w:rPr>
        <w:t xml:space="preserve">What changed: </w:t>
      </w:r>
      <w:r>
        <w:t>No opening record, evaluation, award, contract, delivery, commissioning or acceptance could yet be inferred. A date-only PPRA contract for State Life office relocation is unrelated and excluded.</w:t>
      </w:r>
    </w:p>
    <w:p>
      <w:pPr>
        <w:widowControl/>
      </w:pPr>
      <w:r>
        <w:rPr>
          <w:b/>
          <w:color w:val="0B2545"/>
        </w:rPr>
        <w:t xml:space="preserve">Why it matters: </w:t>
      </w:r>
      <w:r>
        <w:t>These procurements may strengthen cyber monitoring and physical resilience, but only later-stage records establish vendor, value, scope and delivery.</w:t>
      </w:r>
    </w:p>
    <w:p>
      <w:pPr>
        <w:pStyle w:val="Heading1"/>
        <w:widowControl/>
      </w:pPr>
      <w:r>
        <w:t>7. Provincial and local developments</w:t>
      </w:r>
    </w:p>
    <w:p>
      <w:pPr>
        <w:pStyle w:val="Heading2"/>
        <w:widowControl/>
      </w:pPr>
      <w:r>
        <w:t>Provincial delivery track</w:t>
      </w:r>
    </w:p>
    <w:p>
      <w:pPr>
        <w:pStyle w:val="ItemMeta"/>
        <w:widowControl/>
      </w:pPr>
      <w:r>
        <w:rPr>
          <w:b/>
          <w:color w:val="2E74B5"/>
        </w:rPr>
        <w:t xml:space="preserve">STATUS  </w:t>
      </w:r>
      <w:r>
        <w:t xml:space="preserve">No timestamp-verifiable post-cutoff milestone   </w:t>
      </w:r>
      <w:r>
        <w:rPr>
          <w:b/>
          <w:color w:val="5F6B76"/>
        </w:rPr>
        <w:t xml:space="preserve">INSTITUTION / LOCATION  </w:t>
      </w:r>
      <w:r>
        <w:t xml:space="preserve">Punjab, Khyber Pakhtunkhwa, Sindh and Balochistan   </w:t>
      </w:r>
      <w:r>
        <w:rPr>
          <w:b/>
          <w:color w:val="7A5A00"/>
        </w:rPr>
        <w:t xml:space="preserve">CONFIDENCE  </w:t>
      </w:r>
      <w:r>
        <w:t xml:space="preserve">Medium-high for the bounded interval; medium for comprehensive provincial absence   </w:t>
      </w:r>
    </w:p>
    <w:p>
      <w:pPr>
        <w:widowControl/>
      </w:pPr>
      <w:r>
        <w:rPr>
          <w:b/>
          <w:color w:val="0B2545"/>
        </w:rPr>
        <w:t xml:space="preserve">Evidence: </w:t>
      </w:r>
      <w:r>
        <w:t>Punjab Auqaf’s 2 September claim of AI-assisted monitoring at 10 of 16 model shrines remains a prior-date carry-in without vendor, contract value, biometric scope, retention, security, accuracy, human-review or redress detail. A 31 August KP-World Bank discussion on AI, a KP Data Centre and energy remains exploratory. A 2 September 23:45 PKT APP item on PBTE digitisation and planned AI courses also predates the cutoff.</w:t>
      </w:r>
    </w:p>
    <w:p>
      <w:pPr>
        <w:widowControl/>
      </w:pPr>
      <w:r>
        <w:rPr>
          <w:b/>
          <w:color w:val="0B2545"/>
        </w:rPr>
        <w:t xml:space="preserve">What changed: </w:t>
      </w:r>
      <w:r>
        <w:t>No approval, release, tender outcome, contract, deployment safeguard or measured result was published after 02:06 UTC.</w:t>
      </w:r>
    </w:p>
    <w:p>
      <w:pPr>
        <w:widowControl/>
      </w:pPr>
      <w:r>
        <w:rPr>
          <w:b/>
          <w:color w:val="0B2545"/>
        </w:rPr>
        <w:t xml:space="preserve">Why it matters: </w:t>
      </w:r>
      <w:r>
        <w:t>Provincial announcements can create privacy, procurement and service-delivery consequences, but operational claims require contracts, technical documentation, legal authority and outcome data.</w:t>
      </w:r>
    </w:p>
    <w:p>
      <w:pPr>
        <w:pStyle w:val="Heading1"/>
        <w:widowControl/>
      </w:pPr>
      <w:r>
        <w:t>8. What changed / why it matters</w:t>
      </w:r>
    </w:p>
    <w:p>
      <w:pPr>
        <w:pStyle w:val="Heading2"/>
        <w:widowControl/>
      </w:pPr>
      <w:r>
        <w:t>What changed</w:t>
      </w:r>
    </w:p>
    <w:p>
      <w:pPr>
        <w:pStyle w:val="ListBullet"/>
        <w:widowControl/>
        <w:spacing w:after="80" w:line="259" w:lineRule="auto"/>
        <w:ind w:left="691" w:hanging="331"/>
      </w:pPr>
      <w:r>
        <w:t>Nothing material was verified in the strict interval. All substantive items remain in the same legal or delivery stage as the prior briefing.</w:t>
      </w:r>
    </w:p>
    <w:p>
      <w:pPr>
        <w:pStyle w:val="ListBullet"/>
        <w:widowControl/>
        <w:spacing w:after="80" w:line="259" w:lineRule="auto"/>
        <w:ind w:left="691" w:hanging="331"/>
      </w:pPr>
      <w:r>
        <w:t>A newly indexed child-social-media court story was deduplicated to an August 31 proceeding and excluded from the delta.</w:t>
      </w:r>
    </w:p>
    <w:p>
      <w:pPr>
        <w:pStyle w:val="ListBullet"/>
        <w:widowControl/>
        <w:spacing w:after="80" w:line="259" w:lineRule="auto"/>
        <w:ind w:left="691" w:hanging="331"/>
      </w:pPr>
      <w:r>
        <w:t>The 3 September procurement openings remain future events relative to the 07:21 PKT research cutoff.</w:t>
      </w:r>
    </w:p>
    <w:p>
      <w:pPr>
        <w:pStyle w:val="Heading2"/>
        <w:widowControl/>
      </w:pPr>
      <w:r>
        <w:t>Practical implications</w:t>
      </w:r>
    </w:p>
    <w:p>
      <w:pPr>
        <w:pStyle w:val="ListBullet"/>
        <w:widowControl/>
        <w:spacing w:after="80" w:line="259" w:lineRule="auto"/>
        <w:ind w:left="691" w:hanging="331"/>
      </w:pPr>
      <w:r>
        <w:t>Government buyers: do not treat policy targets, CDWP recommendations, MoUs or tenders as operational capacity; preserve auditable gates for authority, budget, procurement, security, acceptance and service availability.</w:t>
      </w:r>
    </w:p>
    <w:p>
      <w:pPr>
        <w:pStyle w:val="ListBullet"/>
        <w:widowControl/>
        <w:spacing w:after="80" w:line="259" w:lineRule="auto"/>
        <w:ind w:left="691" w:hanging="331"/>
      </w:pPr>
      <w:r>
        <w:t>Companies and investors: no new horizontal data-protection duty was verified, but project and sector controls remain necessary, especially for public data, cross-border processing, AI-assisted decisions and incident handling.</w:t>
      </w:r>
    </w:p>
    <w:p>
      <w:pPr>
        <w:pStyle w:val="ListBullet"/>
        <w:widowControl/>
        <w:spacing w:after="80" w:line="259" w:lineRule="auto"/>
        <w:ind w:left="691" w:hanging="331"/>
      </w:pPr>
      <w:r>
        <w:t>Cloud and infrastructure planners: demand evidence for IT load, GPU inventory, grid and backup design, cooling, fibre diversity, certification, data residency, pricing and commissioning before valuing announced capacity.</w:t>
      </w:r>
    </w:p>
    <w:p>
      <w:pPr>
        <w:pStyle w:val="ListBullet"/>
        <w:widowControl/>
        <w:spacing w:after="80" w:line="259" w:lineRule="auto"/>
        <w:ind w:left="691" w:hanging="331"/>
      </w:pPr>
      <w:r>
        <w:t>Users and civil society: automated public systems still need disclosure of purpose, data categories, legal authority, access, retention, human review, complaint routes and accuracy monitoring even while national frameworks remain draft.</w:t>
      </w:r>
    </w:p>
    <w:p>
      <w:pPr>
        <w:pStyle w:val="Heading1"/>
        <w:widowControl/>
      </w:pPr>
      <w:r>
        <w:t>9. Watchlist</w:t>
      </w:r>
    </w:p>
    <w:p>
      <w:pPr>
        <w:pStyle w:val="ListBullet"/>
        <w:widowControl/>
        <w:spacing w:after="80" w:line="259" w:lineRule="auto"/>
        <w:ind w:left="691" w:hanging="331"/>
      </w:pPr>
      <w:r>
        <w:t>Final/notified Data Governance Policy; enactment and commencement of a comprehensive personal-data law; PDA rules and enforcement architecture.</w:t>
      </w:r>
    </w:p>
    <w:p>
      <w:pPr>
        <w:pStyle w:val="ListBullet"/>
        <w:widowControl/>
        <w:spacing w:after="80" w:line="259" w:lineRule="auto"/>
        <w:ind w:left="691" w:hanging="331"/>
      </w:pPr>
      <w:r>
        <w:t>Mature DNP-D.250 consent and DNP-D.300 technical specifications; any separately published or gazetted data-classification instrument.</w:t>
      </w:r>
    </w:p>
    <w:p>
      <w:pPr>
        <w:pStyle w:val="ListBullet"/>
        <w:widowControl/>
        <w:spacing w:after="80" w:line="259" w:lineRule="auto"/>
        <w:ind w:left="691" w:hanging="331"/>
      </w:pPr>
      <w:r>
        <w:t>National AI Policy implementation package, funded KPIs, public AI-system governance, regulatory sandbox and institutional accountability.</w:t>
      </w:r>
    </w:p>
    <w:p>
      <w:pPr>
        <w:pStyle w:val="ListBullet"/>
        <w:widowControl/>
        <w:spacing w:after="80" w:line="259" w:lineRule="auto"/>
        <w:ind w:left="691" w:hanging="331"/>
      </w:pPr>
      <w:r>
        <w:t>PKCERT Advisory 18, PISF operating notices, incident disclosures and sector cyber directions.</w:t>
      </w:r>
    </w:p>
    <w:p>
      <w:pPr>
        <w:pStyle w:val="ListBullet"/>
        <w:widowControl/>
        <w:spacing w:after="80" w:line="259" w:lineRule="auto"/>
        <w:ind w:left="691" w:hanging="331"/>
      </w:pPr>
      <w:r>
        <w:t>AI Hubs evaluation and award; Ignite sovereign AI infrastructure closing on 21 September; ECNEC decisions and funding releases for the data centre and NAIEDP.</w:t>
      </w:r>
    </w:p>
    <w:p>
      <w:pPr>
        <w:pStyle w:val="ListBullet"/>
        <w:widowControl/>
        <w:spacing w:after="80" w:line="259" w:lineRule="auto"/>
        <w:ind w:left="691" w:hanging="331"/>
      </w:pPr>
      <w:r>
        <w:t>3 September opening and later-stage records for NDRMF SIEM, NADRA generators, NTC equipment, WAPDA Lahore data-centre rehabilitation and PSO PAM.</w:t>
      </w:r>
    </w:p>
    <w:p>
      <w:pPr>
        <w:pStyle w:val="ListBullet"/>
        <w:widowControl/>
        <w:spacing w:after="80" w:line="259" w:lineRule="auto"/>
        <w:ind w:left="691" w:hanging="331"/>
      </w:pPr>
      <w:r>
        <w:t>Google: premises and office type, legal/employing entity, staffing, mandate, investment, AI Centre delivery, processing locations, transfers and any residency commitment.</w:t>
      </w:r>
    </w:p>
    <w:p>
      <w:pPr>
        <w:pStyle w:val="ListBullet"/>
        <w:widowControl/>
        <w:spacing w:after="80" w:line="259" w:lineRule="auto"/>
        <w:ind w:left="691" w:hanging="331"/>
      </w:pPr>
      <w:r>
        <w:t>Near-term: National Assembly IT&amp;T Committee on 10 September; PSEB and NTC procurements through 23 September; Sky47 Karachi target on 30 September; Google Ads transition on 1 October.</w:t>
      </w:r>
    </w:p>
    <w:p>
      <w:pPr>
        <w:pStyle w:val="Heading1"/>
        <w:widowControl/>
      </w:pPr>
      <w:r>
        <w:t>10. Sources</w:t>
      </w:r>
    </w:p>
    <w:p>
      <w:pPr>
        <w:pStyle w:val="SourceEntry"/>
        <w:widowControl/>
        <w:ind w:left="317" w:hanging="317"/>
      </w:pPr>
      <w:r>
        <w:rPr>
          <w:b/>
        </w:rPr>
        <w:t xml:space="preserve">1. </w:t>
      </w:r>
      <w:hyperlink r:id="rId13">
        <w:r>
          <w:rPr>
            <w:color w:val="2E74B5"/>
            <w:u w:val="single"/>
            <w:rFonts w:ascii="Calibri" w:hAnsi="Calibri"/>
            <w:sz w:val="16"/>
          </w:rPr>
          <w:t>MoITT — Policies register</w:t>
        </w:r>
      </w:hyperlink>
      <w:r>
        <w:t xml:space="preserve"> — Live register; accessed 3 Sep 2026.</w:t>
      </w:r>
    </w:p>
    <w:p>
      <w:pPr>
        <w:pStyle w:val="SourceEntry"/>
        <w:widowControl/>
        <w:ind w:left="317" w:hanging="317"/>
      </w:pPr>
      <w:r>
        <w:rPr>
          <w:b/>
        </w:rPr>
        <w:t xml:space="preserve">2. </w:t>
      </w:r>
      <w:hyperlink r:id="rId14">
        <w:r>
          <w:rPr>
            <w:color w:val="2E74B5"/>
            <w:u w:val="single"/>
            <w:rFonts w:ascii="Calibri" w:hAnsi="Calibri"/>
            <w:sz w:val="16"/>
          </w:rPr>
          <w:t>MoITT — Legislation register</w:t>
        </w:r>
      </w:hyperlink>
      <w:r>
        <w:t xml:space="preserve"> — Live register; accessed 3 Sep 2026.</w:t>
      </w:r>
    </w:p>
    <w:p>
      <w:pPr>
        <w:pStyle w:val="SourceEntry"/>
        <w:widowControl/>
        <w:ind w:left="317" w:hanging="317"/>
      </w:pPr>
      <w:r>
        <w:rPr>
          <w:b/>
        </w:rPr>
        <w:t xml:space="preserve">3. </w:t>
      </w:r>
      <w:hyperlink r:id="rId15">
        <w:r>
          <w:rPr>
            <w:color w:val="2E74B5"/>
            <w:u w:val="single"/>
            <w:rFonts w:ascii="Calibri" w:hAnsi="Calibri"/>
            <w:sz w:val="16"/>
          </w:rPr>
          <w:t>MoITT — National Artificial Intelligence Policy PDF</w:t>
        </w:r>
      </w:hyperlink>
      <w:r>
        <w:t xml:space="preserve"> — Approved 31 Jul 2025.</w:t>
      </w:r>
    </w:p>
    <w:p>
      <w:pPr>
        <w:pStyle w:val="SourceEntry"/>
        <w:widowControl/>
        <w:ind w:left="317" w:hanging="317"/>
      </w:pPr>
      <w:r>
        <w:rPr>
          <w:b/>
        </w:rPr>
        <w:t xml:space="preserve">4. </w:t>
      </w:r>
      <w:hyperlink r:id="rId16">
        <w:r>
          <w:rPr>
            <w:color w:val="2E74B5"/>
            <w:u w:val="single"/>
            <w:rFonts w:ascii="Calibri" w:hAnsi="Calibri"/>
            <w:sz w:val="16"/>
          </w:rPr>
          <w:t>Pakistan Digital Authority — Data Governance Policy overview</w:t>
        </w:r>
      </w:hyperlink>
      <w:r>
        <w:t xml:space="preserve"> — 30 Jun 2026.</w:t>
      </w:r>
    </w:p>
    <w:p>
      <w:pPr>
        <w:pStyle w:val="SourceEntry"/>
        <w:widowControl/>
        <w:ind w:left="317" w:hanging="317"/>
      </w:pPr>
      <w:r>
        <w:rPr>
          <w:b/>
        </w:rPr>
        <w:t xml:space="preserve">5. </w:t>
      </w:r>
      <w:hyperlink r:id="rId17">
        <w:r>
          <w:rPr>
            <w:color w:val="2E74B5"/>
            <w:u w:val="single"/>
            <w:rFonts w:ascii="Calibri" w:hAnsi="Calibri"/>
            <w:sz w:val="16"/>
          </w:rPr>
          <w:t>Pakistan Digital Authority — Acts &amp; Regulations</w:t>
        </w:r>
      </w:hyperlink>
      <w:r>
        <w:t xml:space="preserve"> — Live register; accessed 3 Sep 2026.</w:t>
      </w:r>
    </w:p>
    <w:p>
      <w:pPr>
        <w:pStyle w:val="SourceEntry"/>
        <w:widowControl/>
        <w:ind w:left="317" w:hanging="317"/>
      </w:pPr>
      <w:r>
        <w:rPr>
          <w:b/>
        </w:rPr>
        <w:t xml:space="preserve">6. </w:t>
      </w:r>
      <w:hyperlink r:id="rId18">
        <w:r>
          <w:rPr>
            <w:color w:val="2E74B5"/>
            <w:u w:val="single"/>
            <w:rFonts w:ascii="Calibri" w:hAnsi="Calibri"/>
            <w:sz w:val="16"/>
          </w:rPr>
          <w:t>Digital Nation Pakistan — Publications Register</w:t>
        </w:r>
      </w:hyperlink>
      <w:r>
        <w:t xml:space="preserve"> — Live register; working drafts dated 26 Apr 2026.</w:t>
      </w:r>
    </w:p>
    <w:p>
      <w:pPr>
        <w:pStyle w:val="SourceEntry"/>
        <w:widowControl/>
        <w:ind w:left="317" w:hanging="317"/>
      </w:pPr>
      <w:r>
        <w:rPr>
          <w:b/>
        </w:rPr>
        <w:t xml:space="preserve">7. </w:t>
      </w:r>
      <w:hyperlink r:id="rId19">
        <w:r>
          <w:rPr>
            <w:color w:val="2E74B5"/>
            <w:u w:val="single"/>
            <w:rFonts w:ascii="Calibri" w:hAnsi="Calibri"/>
            <w:sz w:val="16"/>
          </w:rPr>
          <w:t>PKCERT — Advisories</w:t>
        </w:r>
      </w:hyperlink>
      <w:r>
        <w:t xml:space="preserve"> — Live register; accessed 3 Sep 2026.</w:t>
      </w:r>
    </w:p>
    <w:p>
      <w:pPr>
        <w:pStyle w:val="SourceEntry"/>
        <w:widowControl/>
        <w:ind w:left="317" w:hanging="317"/>
      </w:pPr>
      <w:r>
        <w:rPr>
          <w:b/>
        </w:rPr>
        <w:t xml:space="preserve">8. </w:t>
      </w:r>
      <w:hyperlink r:id="rId20">
        <w:r>
          <w:rPr>
            <w:color w:val="2E74B5"/>
            <w:u w:val="single"/>
            <w:rFonts w:ascii="Calibri" w:hAnsi="Calibri"/>
            <w:sz w:val="16"/>
          </w:rPr>
          <w:t>Dawn — IHC seeks replies on under-16 social-media petition</w:t>
        </w:r>
      </w:hyperlink>
      <w:r>
        <w:t xml:space="preserve"> — 31 Aug 2026; updated 31 Aug 2026.</w:t>
      </w:r>
    </w:p>
    <w:p>
      <w:pPr>
        <w:pStyle w:val="SourceEntry"/>
        <w:widowControl/>
        <w:ind w:left="317" w:hanging="317"/>
      </w:pPr>
      <w:r>
        <w:rPr>
          <w:b/>
        </w:rPr>
        <w:t xml:space="preserve">9. </w:t>
      </w:r>
      <w:hyperlink r:id="rId21">
        <w:r>
          <w:rPr>
            <w:color w:val="2E74B5"/>
            <w:u w:val="single"/>
            <w:rFonts w:ascii="Calibri" w:hAnsi="Calibri"/>
            <w:sz w:val="16"/>
          </w:rPr>
          <w:t>Daily Times — recycled IHC report</w:t>
        </w:r>
      </w:hyperlink>
      <w:r>
        <w:t xml:space="preserve"> — 3 Sep 2026, 05:23; event predates cutoff.</w:t>
      </w:r>
    </w:p>
    <w:p>
      <w:pPr>
        <w:pStyle w:val="SourceEntry"/>
        <w:widowControl/>
        <w:ind w:left="317" w:hanging="317"/>
      </w:pPr>
      <w:r>
        <w:rPr>
          <w:b/>
        </w:rPr>
        <w:t xml:space="preserve">10. </w:t>
      </w:r>
      <w:hyperlink r:id="rId22">
        <w:r>
          <w:rPr>
            <w:color w:val="2E74B5"/>
            <w:u w:val="single"/>
            <w:rFonts w:ascii="Calibri" w:hAnsi="Calibri"/>
            <w:sz w:val="16"/>
          </w:rPr>
          <w:t>Planning Commission — CDWP projects including data centre and NAIEDP</w:t>
        </w:r>
      </w:hyperlink>
      <w:r>
        <w:t xml:space="preserve"> — 25 Jun 2026.</w:t>
      </w:r>
    </w:p>
    <w:p>
      <w:pPr>
        <w:pStyle w:val="SourceEntry"/>
        <w:widowControl/>
        <w:ind w:left="317" w:hanging="317"/>
      </w:pPr>
      <w:r>
        <w:rPr>
          <w:b/>
        </w:rPr>
        <w:t xml:space="preserve">11. </w:t>
      </w:r>
      <w:hyperlink r:id="rId23">
        <w:r>
          <w:rPr>
            <w:color w:val="2E74B5"/>
            <w:u w:val="single"/>
            <w:rFonts w:ascii="Calibri" w:hAnsi="Calibri"/>
            <w:sz w:val="16"/>
          </w:rPr>
          <w:t>PPRA — Sovereign National AI Infrastructure, TS0000010170E</w:t>
        </w:r>
      </w:hyperlink>
      <w:r>
        <w:t xml:space="preserve"> — Advertised 24 Jul 2026; closes 21 Sep 2026.</w:t>
      </w:r>
    </w:p>
    <w:p>
      <w:pPr>
        <w:pStyle w:val="SourceEntry"/>
        <w:widowControl/>
        <w:ind w:left="317" w:hanging="317"/>
      </w:pPr>
      <w:r>
        <w:rPr>
          <w:b/>
        </w:rPr>
        <w:t xml:space="preserve">12. </w:t>
      </w:r>
      <w:hyperlink r:id="rId24">
        <w:r>
          <w:rPr>
            <w:color w:val="2E74B5"/>
            <w:u w:val="single"/>
            <w:rFonts w:ascii="Calibri" w:hAnsi="Calibri"/>
            <w:sz w:val="16"/>
          </w:rPr>
          <w:t>PPRA — Active tenders, including AI Hubs TS0000010287E</w:t>
        </w:r>
      </w:hyperlink>
      <w:r>
        <w:t xml:space="preserve"> — AI Hubs advertised/corrigendum 18 Aug 2026; closed 31 Aug 2026.</w:t>
      </w:r>
    </w:p>
    <w:p>
      <w:pPr>
        <w:pStyle w:val="SourceEntry"/>
        <w:widowControl/>
        <w:ind w:left="317" w:hanging="317"/>
      </w:pPr>
      <w:r>
        <w:rPr>
          <w:b/>
        </w:rPr>
        <w:t xml:space="preserve">13. </w:t>
      </w:r>
      <w:hyperlink r:id="rId25">
        <w:r>
          <w:rPr>
            <w:color w:val="2E74B5"/>
            <w:u w:val="single"/>
            <w:rFonts w:ascii="Calibri" w:hAnsi="Calibri"/>
            <w:sz w:val="16"/>
          </w:rPr>
          <w:t>PPRA — WAPDA data-centre rehabilitation TS0000011758E</w:t>
        </w:r>
      </w:hyperlink>
      <w:r>
        <w:t xml:space="preserve"> — Advertised 19 Aug 2026; closes 3 Sep 2026.</w:t>
      </w:r>
    </w:p>
    <w:p>
      <w:pPr>
        <w:pStyle w:val="SourceEntry"/>
        <w:widowControl/>
        <w:ind w:left="317" w:hanging="317"/>
      </w:pPr>
      <w:r>
        <w:rPr>
          <w:b/>
        </w:rPr>
        <w:t xml:space="preserve">14. </w:t>
      </w:r>
      <w:hyperlink r:id="rId26">
        <w:r>
          <w:rPr>
            <w:color w:val="2E74B5"/>
            <w:u w:val="single"/>
            <w:rFonts w:ascii="Calibri" w:hAnsi="Calibri"/>
            <w:sz w:val="16"/>
          </w:rPr>
          <w:t>NDRMF — Procurement register</w:t>
        </w:r>
      </w:hyperlink>
      <w:r>
        <w:t xml:space="preserve"> — SIEM notice dated 19 Aug 2026; closes 3 Sep 2026.</w:t>
      </w:r>
    </w:p>
    <w:p>
      <w:pPr>
        <w:pStyle w:val="SourceEntry"/>
        <w:widowControl/>
        <w:ind w:left="317" w:hanging="317"/>
      </w:pPr>
      <w:r>
        <w:rPr>
          <w:b/>
        </w:rPr>
        <w:t xml:space="preserve">15. </w:t>
      </w:r>
      <w:hyperlink r:id="rId27">
        <w:r>
          <w:rPr>
            <w:color w:val="2E74B5"/>
            <w:u w:val="single"/>
            <w:rFonts w:ascii="Calibri" w:hAnsi="Calibri"/>
            <w:sz w:val="16"/>
          </w:rPr>
          <w:t>EPADS — NDRMF ThreatHawk SIEM renewal P78409</w:t>
        </w:r>
      </w:hyperlink>
      <w:r>
        <w:t xml:space="preserve"> — Notice dated 19 Aug 2026; closes 3 Sep 2026.</w:t>
      </w:r>
    </w:p>
    <w:p>
      <w:pPr>
        <w:pStyle w:val="SourceEntry"/>
        <w:widowControl/>
        <w:ind w:left="317" w:hanging="317"/>
      </w:pPr>
      <w:r>
        <w:rPr>
          <w:b/>
        </w:rPr>
        <w:t xml:space="preserve">16. </w:t>
      </w:r>
      <w:hyperlink r:id="rId28">
        <w:r>
          <w:rPr>
            <w:color w:val="2E74B5"/>
            <w:u w:val="single"/>
            <w:rFonts w:ascii="Calibri" w:hAnsi="Calibri"/>
            <w:sz w:val="16"/>
          </w:rPr>
          <w:t>PPRA — NADRA 150 kVA generator TS0000010223E</w:t>
        </w:r>
      </w:hyperlink>
      <w:r>
        <w:t xml:space="preserve"> — Corrigendum 22 Aug 2026; closes 3 Sep 2026.</w:t>
      </w:r>
    </w:p>
    <w:p>
      <w:pPr>
        <w:pStyle w:val="SourceEntry"/>
        <w:widowControl/>
        <w:ind w:left="317" w:hanging="317"/>
      </w:pPr>
      <w:r>
        <w:rPr>
          <w:b/>
        </w:rPr>
        <w:t xml:space="preserve">17. </w:t>
      </w:r>
      <w:hyperlink r:id="rId29">
        <w:r>
          <w:rPr>
            <w:color w:val="2E74B5"/>
            <w:u w:val="single"/>
            <w:rFonts w:ascii="Calibri" w:hAnsi="Calibri"/>
            <w:sz w:val="16"/>
          </w:rPr>
          <w:t>PPRA — NADRA 680 kVA generators TS0000010257E</w:t>
        </w:r>
      </w:hyperlink>
      <w:r>
        <w:t xml:space="preserve"> — Corrigendum 22 Aug 2026; closes 3 Sep 2026.</w:t>
      </w:r>
    </w:p>
    <w:p>
      <w:pPr>
        <w:pStyle w:val="SourceEntry"/>
        <w:widowControl/>
        <w:ind w:left="317" w:hanging="317"/>
      </w:pPr>
      <w:r>
        <w:rPr>
          <w:b/>
        </w:rPr>
        <w:t xml:space="preserve">18. </w:t>
      </w:r>
      <w:hyperlink r:id="rId30">
        <w:r>
          <w:rPr>
            <w:color w:val="2E74B5"/>
            <w:u w:val="single"/>
            <w:rFonts w:ascii="Calibri" w:hAnsi="Calibri"/>
            <w:sz w:val="16"/>
          </w:rPr>
          <w:t>PPRA — NTC test equipment TS0000001081E</w:t>
        </w:r>
      </w:hyperlink>
      <w:r>
        <w:t xml:space="preserve"> — Advertised 16 Feb 2026; current close 3 Sep 2026.</w:t>
      </w:r>
    </w:p>
    <w:p>
      <w:pPr>
        <w:pStyle w:val="SourceEntry"/>
        <w:widowControl/>
        <w:ind w:left="317" w:hanging="317"/>
      </w:pPr>
      <w:r>
        <w:rPr>
          <w:b/>
        </w:rPr>
        <w:t xml:space="preserve">19. </w:t>
      </w:r>
      <w:hyperlink r:id="rId31">
        <w:r>
          <w:rPr>
            <w:color w:val="2E74B5"/>
            <w:u w:val="single"/>
            <w:rFonts w:ascii="Calibri" w:hAnsi="Calibri"/>
            <w:sz w:val="16"/>
          </w:rPr>
          <w:t>PPRA — PSO Delinea PAM licences TS0000011780E</w:t>
        </w:r>
      </w:hyperlink>
      <w:r>
        <w:t xml:space="preserve"> — Advertised 19 Aug 2026; closes 3 Sep 2026.</w:t>
      </w:r>
    </w:p>
    <w:p>
      <w:pPr>
        <w:pStyle w:val="SourceEntry"/>
        <w:widowControl/>
        <w:ind w:left="317" w:hanging="317"/>
      </w:pPr>
      <w:r>
        <w:rPr>
          <w:b/>
        </w:rPr>
        <w:t xml:space="preserve">20. </w:t>
      </w:r>
      <w:hyperlink r:id="rId32">
        <w:r>
          <w:rPr>
            <w:color w:val="2E74B5"/>
            <w:u w:val="single"/>
            <w:rFonts w:ascii="Calibri" w:hAnsi="Calibri"/>
            <w:sz w:val="16"/>
          </w:rPr>
          <w:t>PPRA — ETPB data-centre maintenance evaluation EVL00000000515</w:t>
        </w:r>
      </w:hyperlink>
      <w:r>
        <w:t xml:space="preserve"> — Technical evaluation published 4 May 2026; not a 3 Sep delta.</w:t>
      </w:r>
    </w:p>
    <w:p>
      <w:pPr>
        <w:pStyle w:val="SourceEntry"/>
        <w:widowControl/>
        <w:ind w:left="317" w:hanging="317"/>
      </w:pPr>
      <w:r>
        <w:rPr>
          <w:b/>
        </w:rPr>
        <w:t xml:space="preserve">21. </w:t>
      </w:r>
      <w:hyperlink r:id="rId33">
        <w:r>
          <w:rPr>
            <w:color w:val="2E74B5"/>
            <w:u w:val="single"/>
            <w:rFonts w:ascii="Calibri" w:hAnsi="Calibri"/>
            <w:sz w:val="16"/>
          </w:rPr>
          <w:t>PPRA — Procurement contracts register</w:t>
        </w:r>
      </w:hyperlink>
      <w:r>
        <w:t xml:space="preserve"> — Live register; accessed 3 Sep 2026.</w:t>
      </w:r>
    </w:p>
    <w:p>
      <w:pPr>
        <w:pStyle w:val="SourceEntry"/>
        <w:widowControl/>
        <w:ind w:left="317" w:hanging="317"/>
      </w:pPr>
      <w:r>
        <w:rPr>
          <w:b/>
        </w:rPr>
        <w:t xml:space="preserve">22. </w:t>
      </w:r>
      <w:hyperlink r:id="rId34">
        <w:r>
          <w:rPr>
            <w:color w:val="2E74B5"/>
            <w:u w:val="single"/>
            <w:rFonts w:ascii="Calibri" w:hAnsi="Calibri"/>
            <w:sz w:val="16"/>
          </w:rPr>
          <w:t>MoITT — Google office inauguration</w:t>
        </w:r>
      </w:hyperlink>
      <w:r>
        <w:t xml:space="preserve"> — 18 Aug 2026.</w:t>
      </w:r>
    </w:p>
    <w:p>
      <w:pPr>
        <w:pStyle w:val="SourceEntry"/>
        <w:widowControl/>
        <w:ind w:left="317" w:hanging="317"/>
      </w:pPr>
      <w:r>
        <w:rPr>
          <w:b/>
        </w:rPr>
        <w:t xml:space="preserve">23. </w:t>
      </w:r>
      <w:hyperlink r:id="rId35">
        <w:r>
          <w:rPr>
            <w:color w:val="2E74B5"/>
            <w:u w:val="single"/>
            <w:rFonts w:ascii="Calibri" w:hAnsi="Calibri"/>
            <w:sz w:val="16"/>
          </w:rPr>
          <w:t>Pakistan Digital Authority — Google office announcement</w:t>
        </w:r>
      </w:hyperlink>
      <w:r>
        <w:t xml:space="preserve"> — 18 Aug 2026.</w:t>
      </w:r>
    </w:p>
    <w:p>
      <w:pPr>
        <w:pStyle w:val="SourceEntry"/>
        <w:widowControl/>
        <w:ind w:left="317" w:hanging="317"/>
      </w:pPr>
      <w:r>
        <w:rPr>
          <w:b/>
        </w:rPr>
        <w:t xml:space="preserve">24. </w:t>
      </w:r>
      <w:hyperlink r:id="rId36">
        <w:r>
          <w:rPr>
            <w:color w:val="2E74B5"/>
            <w:u w:val="single"/>
            <w:rFonts w:ascii="Calibri" w:hAnsi="Calibri"/>
            <w:sz w:val="16"/>
          </w:rPr>
          <w:t>Ministry of Information &amp; Broadcasting — Google MoU and AI Centre</w:t>
        </w:r>
      </w:hyperlink>
      <w:r>
        <w:t xml:space="preserve"> — 24 Aug 2026; describes 21 Aug agreement.</w:t>
      </w:r>
    </w:p>
    <w:p>
      <w:pPr>
        <w:pStyle w:val="SourceEntry"/>
        <w:widowControl/>
        <w:ind w:left="317" w:hanging="317"/>
      </w:pPr>
      <w:r>
        <w:rPr>
          <w:b/>
        </w:rPr>
        <w:t xml:space="preserve">25. </w:t>
      </w:r>
      <w:hyperlink r:id="rId37">
        <w:r>
          <w:rPr>
            <w:color w:val="2E74B5"/>
            <w:u w:val="single"/>
            <w:rFonts w:ascii="Calibri" w:hAnsi="Calibri"/>
            <w:sz w:val="16"/>
          </w:rPr>
          <w:t>Google — Corporate office locations</w:t>
        </w:r>
      </w:hyperlink>
      <w:r>
        <w:t xml:space="preserve"> — Undated live directory; accessed 3 Sep 2026.</w:t>
      </w:r>
    </w:p>
    <w:p>
      <w:pPr>
        <w:pStyle w:val="SourceEntry"/>
        <w:widowControl/>
        <w:ind w:left="317" w:hanging="317"/>
      </w:pPr>
      <w:r>
        <w:rPr>
          <w:b/>
        </w:rPr>
        <w:t xml:space="preserve">26. </w:t>
      </w:r>
      <w:hyperlink r:id="rId38">
        <w:r>
          <w:rPr>
            <w:color w:val="2E74B5"/>
            <w:u w:val="single"/>
            <w:rFonts w:ascii="Calibri" w:hAnsi="Calibri"/>
            <w:sz w:val="16"/>
          </w:rPr>
          <w:t>Google Cloud — Regions and zones</w:t>
        </w:r>
      </w:hyperlink>
      <w:r>
        <w:t xml:space="preserve"> — Last updated 31 Aug 2026; accessed 3 Sep 2026.</w:t>
      </w:r>
    </w:p>
    <w:p>
      <w:pPr>
        <w:pStyle w:val="SourceEntry"/>
        <w:widowControl/>
        <w:ind w:left="317" w:hanging="317"/>
      </w:pPr>
      <w:r>
        <w:rPr>
          <w:b/>
        </w:rPr>
        <w:t xml:space="preserve">27. </w:t>
      </w:r>
      <w:hyperlink r:id="rId39">
        <w:r>
          <w:rPr>
            <w:color w:val="2E74B5"/>
            <w:u w:val="single"/>
            <w:rFonts w:ascii="Calibri" w:hAnsi="Calibri"/>
            <w:sz w:val="16"/>
          </w:rPr>
          <w:t>Google — Owned data-centre locations</w:t>
        </w:r>
      </w:hyperlink>
      <w:r>
        <w:t xml:space="preserve"> — Undated live directory; accessed 3 Sep 2026.</w:t>
      </w:r>
    </w:p>
    <w:p>
      <w:pPr>
        <w:pStyle w:val="SourceEntry"/>
        <w:widowControl/>
        <w:ind w:left="317" w:hanging="317"/>
      </w:pPr>
      <w:r>
        <w:rPr>
          <w:b/>
        </w:rPr>
        <w:t xml:space="preserve">28. </w:t>
      </w:r>
      <w:hyperlink r:id="rId40">
        <w:r>
          <w:rPr>
            <w:color w:val="2E74B5"/>
            <w:u w:val="single"/>
            <w:rFonts w:ascii="Calibri" w:hAnsi="Calibri"/>
            <w:sz w:val="16"/>
          </w:rPr>
          <w:t>Google Careers — Pakistan filter</w:t>
        </w:r>
      </w:hyperlink>
      <w:r>
        <w:t xml:space="preserve"> — Undated live results; accessed 3 Sep 2026.</w:t>
      </w:r>
    </w:p>
    <w:p>
      <w:pPr>
        <w:pStyle w:val="SourceEntry"/>
        <w:widowControl/>
        <w:ind w:left="317" w:hanging="317"/>
      </w:pPr>
      <w:r>
        <w:rPr>
          <w:b/>
        </w:rPr>
        <w:t xml:space="preserve">29. </w:t>
      </w:r>
      <w:hyperlink r:id="rId41">
        <w:r>
          <w:rPr>
            <w:color w:val="2E74B5"/>
            <w:u w:val="single"/>
            <w:rFonts w:ascii="Calibri" w:hAnsi="Calibri"/>
            <w:sz w:val="16"/>
          </w:rPr>
          <w:t>Punjab Auqaf — AI-assisted shrine monitoring</w:t>
        </w:r>
      </w:hyperlink>
      <w:r>
        <w:t xml:space="preserve"> — 2 Sep 2026.</w:t>
      </w:r>
    </w:p>
    <w:p>
      <w:pPr>
        <w:pStyle w:val="SourceEntry"/>
        <w:widowControl/>
        <w:ind w:left="317" w:hanging="317"/>
      </w:pPr>
      <w:r>
        <w:rPr>
          <w:b/>
        </w:rPr>
        <w:t xml:space="preserve">30. </w:t>
      </w:r>
      <w:hyperlink r:id="rId42">
        <w:r>
          <w:rPr>
            <w:color w:val="2E74B5"/>
            <w:u w:val="single"/>
            <w:rFonts w:ascii="Calibri" w:hAnsi="Calibri"/>
            <w:sz w:val="16"/>
          </w:rPr>
          <w:t>KP DGIPR — World Bank discussion on IT, data centre and energy</w:t>
        </w:r>
      </w:hyperlink>
      <w:r>
        <w:t xml:space="preserve"> — 31 Aug 2026.</w:t>
      </w:r>
    </w:p>
    <w:p>
      <w:pPr>
        <w:pStyle w:val="SourceEntry"/>
        <w:widowControl/>
        <w:ind w:left="317" w:hanging="317"/>
      </w:pPr>
      <w:r>
        <w:rPr>
          <w:b/>
        </w:rPr>
        <w:t xml:space="preserve">31. </w:t>
      </w:r>
      <w:hyperlink r:id="rId43">
        <w:r>
          <w:rPr>
            <w:color w:val="2E74B5"/>
            <w:u w:val="single"/>
            <w:rFonts w:ascii="Calibri" w:hAnsi="Calibri"/>
            <w:sz w:val="16"/>
          </w:rPr>
          <w:t>APP Video — PBTE digitisation and planned AI courses</w:t>
        </w:r>
      </w:hyperlink>
      <w:r>
        <w:t xml:space="preserve"> — 2 Sep 2026, 23:45 PKT.</w:t>
      </w:r>
    </w:p>
    <w:sectPr w:rsidR="00FC693F" w:rsidRPr="0006063C" w:rsidSect="00034616">
      <w:headerReference w:type="default" r:id="rId9"/>
      <w:headerReference w:type="even" r:id="rId10"/>
      <w:footerReference w:type="default" r:id="rId11"/>
      <w:footerReference w:type="even" r:id="rId12"/>
      <w:pgSz w:w="12240" w:h="15840"/>
      <w:pgMar w:top="1224" w:right="1296" w:bottom="1224"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6"/>
      </w:rPr>
      <w:t xml:space="preserve">Daily Brief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6"/>
      </w:rPr>
      <w:t xml:space="preserve">Daily Brief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left"/>
    </w:pPr>
    <w:r>
      <w:t>PAKISTAN AI POLICY MONITOR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left"/>
    </w:pPr>
    <w:r>
      <w:t>PAKISTAN AI POLICY MONITOR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259" w:lineRule="auto"/>
    </w:pPr>
    <w:rPr>
      <w:rFonts w:ascii="Calibri" w:hAnsi="Calibri"/>
      <w:b w:val="0"/>
      <w:color w:val="2026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40" w:lineRule="auto"/>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40" w:after="50" w:line="240" w:lineRule="auto"/>
      <w:outlineLvl w:val="1"/>
    </w:pPr>
    <w:rPr>
      <w:rFonts w:asciiTheme="majorHAnsi" w:eastAsiaTheme="majorEastAsia" w:hAnsiTheme="majorHAnsi" w:cstheme="majorBidi" w:ascii="Calibri" w:hAnsi="Calibri"/>
      <w:b/>
      <w:bCs/>
      <w:color w:val="1F4D78"/>
      <w:sz w:val="23"/>
      <w:szCs w:val="26"/>
    </w:rPr>
  </w:style>
  <w:style w:type="paragraph" w:styleId="Heading3">
    <w:name w:val="heading 3"/>
    <w:basedOn w:val="Normal"/>
    <w:next w:val="Normal"/>
    <w:link w:val="Heading3Char"/>
    <w:uiPriority w:val="9"/>
    <w:unhideWhenUsed/>
    <w:qFormat/>
    <w:rsid w:val="00FC693F"/>
    <w:pPr>
      <w:keepNext/>
      <w:keepLines/>
      <w:spacing w:before="100" w:after="40" w:line="240" w:lineRule="auto"/>
      <w:outlineLvl w:val="2"/>
    </w:pPr>
    <w:rPr>
      <w:rFonts w:asciiTheme="majorHAnsi" w:eastAsiaTheme="majorEastAsia" w:hAnsiTheme="majorHAnsi" w:cstheme="majorBidi" w:ascii="Calibri" w:hAnsi="Calibri"/>
      <w:b/>
      <w:bCs/>
      <w:color w:val="0B25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Calibri" w:hAnsi="Calibri"/>
      <w:b/>
      <w:color w:val="0B2545"/>
      <w:spacing w:val="5"/>
      <w:kern w:val="28"/>
      <w:sz w:val="39"/>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20" w:line="252" w:lineRule="auto"/>
    </w:pPr>
    <w:rPr>
      <w:rFonts w:asciiTheme="majorHAnsi" w:eastAsiaTheme="majorEastAsia" w:hAnsiTheme="majorHAnsi" w:cstheme="majorBidi" w:ascii="Calibri" w:hAnsi="Calibri"/>
      <w:b w:val="0"/>
      <w:i/>
      <w:iCs/>
      <w:color w:val="5F6B7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Meta">
    <w:name w:val="Brief Meta"/>
    <w:pPr>
      <w:keepNext w:val="0"/>
      <w:spacing w:before="0" w:after="40" w:line="240" w:lineRule="auto"/>
    </w:pPr>
    <w:rPr>
      <w:rFonts w:ascii="Calibri" w:hAnsi="Calibri"/>
      <w:b w:val="0"/>
      <w:color w:val="5F6B76"/>
      <w:sz w:val="17"/>
    </w:rPr>
  </w:style>
  <w:style w:type="paragraph" w:customStyle="1" w:styleId="ItemMeta">
    <w:name w:val="Item Meta"/>
    <w:pPr>
      <w:keepNext w:val="0"/>
      <w:spacing w:before="0" w:after="50" w:line="252" w:lineRule="auto"/>
    </w:pPr>
    <w:rPr>
      <w:rFonts w:ascii="Calibri" w:hAnsi="Calibri"/>
      <w:b w:val="0"/>
      <w:color w:val="5F6B76"/>
      <w:sz w:val="17"/>
    </w:rPr>
  </w:style>
  <w:style w:type="paragraph" w:customStyle="1" w:styleId="SourceEntry">
    <w:name w:val="Source Entry"/>
    <w:pPr>
      <w:keepNext w:val="0"/>
      <w:spacing w:before="0" w:after="40" w:line="240" w:lineRule="auto"/>
    </w:pPr>
    <w:rPr>
      <w:rFonts w:ascii="Calibri" w:hAnsi="Calibri"/>
      <w:b w:val="0"/>
      <w:color w:val="303840"/>
      <w:sz w:val="16"/>
    </w:rPr>
  </w:style>
  <w:style w:type="paragraph" w:customStyle="1" w:styleId="Kicker">
    <w:name w:val="Kicker"/>
    <w:pPr>
      <w:keepNext w:val="0"/>
      <w:spacing w:before="0" w:after="80" w:line="240" w:lineRule="auto"/>
    </w:pPr>
    <w:rPr>
      <w:rFonts w:ascii="Calibri" w:hAnsi="Calibri"/>
      <w:b/>
      <w:color w:val="2E74B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www.moitt.gov.pk/Policies" TargetMode="External"/><Relationship Id="rId14" Type="http://schemas.openxmlformats.org/officeDocument/2006/relationships/hyperlink" Target="https://www.moitt.gov.pk/Legislations" TargetMode="External"/><Relationship Id="rId15" Type="http://schemas.openxmlformats.org/officeDocument/2006/relationships/hyperlink" Target="https://moitt.gov.pk/SiteImage/Misc/files/National%20AI%20Policy.pdf" TargetMode="External"/><Relationship Id="rId16" Type="http://schemas.openxmlformats.org/officeDocument/2006/relationships/hyperlink" Target="https://www.pda.gov.pk/press-details.php?id=data-governance-policy" TargetMode="External"/><Relationship Id="rId17" Type="http://schemas.openxmlformats.org/officeDocument/2006/relationships/hyperlink" Target="https://pda.gov.pk/acts-and-regulations.php" TargetMode="External"/><Relationship Id="rId18" Type="http://schemas.openxmlformats.org/officeDocument/2006/relationships/hyperlink" Target="https://standards.dnp.gov.pk/register.html" TargetMode="External"/><Relationship Id="rId19" Type="http://schemas.openxmlformats.org/officeDocument/2006/relationships/hyperlink" Target="https://pkcert.gov.pk/advisories.asp" TargetMode="External"/><Relationship Id="rId20" Type="http://schemas.openxmlformats.org/officeDocument/2006/relationships/hyperlink" Target="https://www.dawn.com/news/2026379" TargetMode="External"/><Relationship Id="rId21" Type="http://schemas.openxmlformats.org/officeDocument/2006/relationships/hyperlink" Target="https://dailytimes.com.pk/1547223/ihc-seeks-comments-on-social-media-regulations-for-under-16/" TargetMode="External"/><Relationship Id="rId22" Type="http://schemas.openxmlformats.org/officeDocument/2006/relationships/hyperlink" Target="https://www.pc.gov.pk/web/press/get_press/1702" TargetMode="External"/><Relationship Id="rId23" Type="http://schemas.openxmlformats.org/officeDocument/2006/relationships/hyperlink" Target="https://epms.ppra.gov.pk/public/tenders/tender-details/TS0000010170E" TargetMode="External"/><Relationship Id="rId24" Type="http://schemas.openxmlformats.org/officeDocument/2006/relationships/hyperlink" Target="https://epms.ppra.gov.pk/public/tenders/active-tenders?procurement_category=3" TargetMode="External"/><Relationship Id="rId25" Type="http://schemas.openxmlformats.org/officeDocument/2006/relationships/hyperlink" Target="https://epms.ppra.gov.pk/public/tenders/tender-details/TS0000011758E" TargetMode="External"/><Relationship Id="rId26" Type="http://schemas.openxmlformats.org/officeDocument/2006/relationships/hyperlink" Target="https://ndrmf.pk/procurement/tender/" TargetMode="External"/><Relationship Id="rId27" Type="http://schemas.openxmlformats.org/officeDocument/2006/relationships/hyperlink" Target="https://pa.epads.gov.pk/procurement/non-consultancy-services/69042/sbd" TargetMode="External"/><Relationship Id="rId28" Type="http://schemas.openxmlformats.org/officeDocument/2006/relationships/hyperlink" Target="https://epms.ppra.gov.pk/public/tenders/tender-details/TS0000010223E" TargetMode="External"/><Relationship Id="rId29" Type="http://schemas.openxmlformats.org/officeDocument/2006/relationships/hyperlink" Target="https://epms.ppra.gov.pk/public/tenders/tender-details/TS0000010257E" TargetMode="External"/><Relationship Id="rId30" Type="http://schemas.openxmlformats.org/officeDocument/2006/relationships/hyperlink" Target="https://epms.ppra.gov.pk/public/tenders/tender-details/TS0000001081E" TargetMode="External"/><Relationship Id="rId31" Type="http://schemas.openxmlformats.org/officeDocument/2006/relationships/hyperlink" Target="https://epms.ppra.gov.pk/public/tenders/tender-details/TS0000011780E" TargetMode="External"/><Relationship Id="rId32" Type="http://schemas.openxmlformats.org/officeDocument/2006/relationships/hyperlink" Target="https://epms.ppra.gov.pk/public/evaluations/evaluation-details/EVL00000000515" TargetMode="External"/><Relationship Id="rId33" Type="http://schemas.openxmlformats.org/officeDocument/2006/relationships/hyperlink" Target="https://epms.ppra.gov.pk/public/contracts" TargetMode="External"/><Relationship Id="rId34" Type="http://schemas.openxmlformats.org/officeDocument/2006/relationships/hyperlink" Target="https://www.moitt.gov.pk/NewsDetail/M2E5NDQxZWItZWVjNC00MDFmLWJiMjItMTVmMTQ4MjQ1YWUz" TargetMode="External"/><Relationship Id="rId35" Type="http://schemas.openxmlformats.org/officeDocument/2006/relationships/hyperlink" Target="https://pda.gov.pk/press-details.php?id=google-opens-office-in-pakistan" TargetMode="External"/><Relationship Id="rId36" Type="http://schemas.openxmlformats.org/officeDocument/2006/relationships/hyperlink" Target="https://www.moib.gov.pk/News/66341" TargetMode="External"/><Relationship Id="rId37" Type="http://schemas.openxmlformats.org/officeDocument/2006/relationships/hyperlink" Target="https://about.google/company-info/locations/" TargetMode="External"/><Relationship Id="rId38" Type="http://schemas.openxmlformats.org/officeDocument/2006/relationships/hyperlink" Target="https://cloud.google.com/about/locations" TargetMode="External"/><Relationship Id="rId39" Type="http://schemas.openxmlformats.org/officeDocument/2006/relationships/hyperlink" Target="https://datacenters.google/locations/" TargetMode="External"/><Relationship Id="rId40" Type="http://schemas.openxmlformats.org/officeDocument/2006/relationships/hyperlink" Target="https://www.google.com/about/careers/applications/jobs/results?location=Pakistan" TargetMode="External"/><Relationship Id="rId41" Type="http://schemas.openxmlformats.org/officeDocument/2006/relationships/hyperlink" Target="https://auqaf.punjab.gov.pk/node/835" TargetMode="External"/><Relationship Id="rId42" Type="http://schemas.openxmlformats.org/officeDocument/2006/relationships/hyperlink" Target="https://dgipr.kp.gov.pk/world-bank-delegation-meets-khyber-pakhtunkhwa-government-to-discuss-it-digital-infrastructure-and-energy-initiatives/" TargetMode="External"/><Relationship Id="rId43" Type="http://schemas.openxmlformats.org/officeDocument/2006/relationships/hyperlink" Target="https://vid.app.com.pk/vid/2026/09/%D8%B5%D9%88%D8%A8%D8%A7%D8%A6%DB%8C-%D9%88%D8%B2%DB%8C%D8%B1-%D8%B5%D9%86%D8%B9%D8%AA-%D9%88-%D8%AA%D8%AC%D8%A7%D8%B1%D8%AA-%DA%86%D9%88%D8%AF%DA%BE%D8%B1%DB%8C-%D8%B4%D8%A7%D9%81%D8%B9-%D8%AD-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AI Policy &amp; Infrastructure Daily Brief - 2 September 2026</dc:title>
  <dc:subject>Pakistan AI policy, data regulation, infrastructure, programmes and investment monitoring</dc:subject>
  <dc:creator>Pakistan AI Policy Monitor</dc:creator>
  <cp:keywords>Pakistan, AI policy, data protection, cybersecurity, digital infrastructure, cloud, data centre</cp:keywords>
  <dc:description>generated by python-docx</dc:description>
  <cp:lastModifiedBy/>
  <cp:revision>1</cp:revision>
  <dcterms:created xsi:type="dcterms:W3CDTF">2013-12-23T23:15:00Z</dcterms:created>
  <dcterms:modified xsi:type="dcterms:W3CDTF">2013-12-23T23:15:00Z</dcterms:modified>
  <cp:category/>
</cp:coreProperties>
</file>