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52CC"/>
          <w:sz w:val="52"/>
        </w:rPr>
        <w:t>ArogyaLens (आरोग्य लेंस)</w:t>
      </w:r>
    </w:p>
    <w:p>
      <w:pPr>
        <w:spacing w:before="0" w:after="240"/>
      </w:pPr>
      <w:r>
        <w:rPr>
          <w:rFonts w:ascii="Arial" w:hAnsi="Arial"/>
          <w:b/>
          <w:color w:val="172B4D"/>
          <w:sz w:val="30"/>
        </w:rPr>
        <w:t>Offline Multi-Modal Clinical Triage Copilot for Frontline Health Workers</w:t>
      </w:r>
    </w:p>
    <w:p>
      <w:pPr>
        <w:spacing w:after="360"/>
      </w:pPr>
      <w:r>
        <w:rPr>
          <w:rFonts w:ascii="Arial" w:hAnsi="Arial"/>
          <w:i/>
          <w:color w:val="6B778C"/>
          <w:sz w:val="20"/>
        </w:rPr>
        <w:t>Designed &amp; Optimized for Snapdragon® X Elite Powered HP PCs | 45 TOPS Hexagon NPU</w:t>
        <w:br/>
        <w:t>Snapdragon® AI Lab Build &amp; Present Challenge 2026 (Qualcomm x HP)</w:t>
      </w:r>
    </w:p>
    <w:tbl>
      <w:tblPr>
        <w:tblW w:type="auto" w:w="0"/>
        <w:jc w:val="center"/>
        <w:tblLayout w:type="fixed"/>
        <w:tblLook w:firstColumn="1" w:firstRow="1" w:lastColumn="0" w:lastRow="0" w:noHBand="0" w:noVBand="1" w:val="04A0"/>
      </w:tblPr>
      <w:tblGrid>
        <w:gridCol w:w="4680"/>
        <w:gridCol w:w="4680"/>
      </w:tblGrid>
      <w:tr>
        <w:tc>
          <w:tcPr>
            <w:tcW w:type="dxa" w:w="3600"/>
            <w:shd w:val="clear" w:color="auto" w:fill="F4F5F7"/>
          </w:tcPr>
          <w:p>
            <w:r>
              <w:rPr>
                <w:b/>
                <w:sz w:val="19"/>
              </w:rPr>
              <w:t>GitHub Repository</w:t>
            </w:r>
          </w:p>
        </w:tc>
        <w:tc>
          <w:tcPr>
            <w:tcW w:type="dxa" w:w="5760"/>
            <w:shd w:val="clear" w:color="auto" w:fill="FFFFFF"/>
          </w:tcPr>
          <w:p>
            <w:r>
              <w:rPr>
                <w:color w:val="0052CC"/>
                <w:sz w:val="19"/>
              </w:rPr>
              <w:t>https://github.com/Ombhosalee19/ArogyaLens</w:t>
            </w:r>
          </w:p>
        </w:tc>
      </w:tr>
      <w:tr>
        <w:tc>
          <w:tcPr>
            <w:tcW w:type="dxa" w:w="3600"/>
            <w:shd w:val="clear" w:color="auto" w:fill="F4F5F7"/>
          </w:tcPr>
          <w:p>
            <w:r>
              <w:rPr>
                <w:b/>
                <w:sz w:val="19"/>
              </w:rPr>
              <w:t>Qualcomm AI Hub Compile Job (SUCCESS)</w:t>
            </w:r>
          </w:p>
        </w:tc>
        <w:tc>
          <w:tcPr>
            <w:tcW w:type="dxa" w:w="5760"/>
            <w:shd w:val="clear" w:color="auto" w:fill="FFFFFF"/>
          </w:tcPr>
          <w:p>
            <w:r>
              <w:rPr>
                <w:color w:val="0052CC"/>
                <w:sz w:val="19"/>
              </w:rPr>
              <w:t>https://workbench.aihub.qualcomm.com/jobs/j5qlveznp/</w:t>
            </w:r>
          </w:p>
        </w:tc>
      </w:tr>
      <w:tr>
        <w:tc>
          <w:tcPr>
            <w:tcW w:type="dxa" w:w="3600"/>
            <w:shd w:val="clear" w:color="auto" w:fill="F4F5F7"/>
          </w:tcPr>
          <w:p>
            <w:r>
              <w:rPr>
                <w:b/>
                <w:sz w:val="19"/>
              </w:rPr>
              <w:t>Qualcomm AI Hub Profile Job (SUCCESS)</w:t>
            </w:r>
          </w:p>
        </w:tc>
        <w:tc>
          <w:tcPr>
            <w:tcW w:type="dxa" w:w="5760"/>
            <w:shd w:val="clear" w:color="auto" w:fill="FFFFFF"/>
          </w:tcPr>
          <w:p>
            <w:r>
              <w:rPr>
                <w:color w:val="0052CC"/>
                <w:sz w:val="19"/>
              </w:rPr>
              <w:t>https://workbench.aihub.qualcomm.com/jobs/jglyl6oj5/</w:t>
            </w:r>
          </w:p>
        </w:tc>
      </w:tr>
      <w:tr>
        <w:tc>
          <w:tcPr>
            <w:tcW w:type="dxa" w:w="3600"/>
            <w:shd w:val="clear" w:color="auto" w:fill="F4F5F7"/>
          </w:tcPr>
          <w:p>
            <w:r>
              <w:rPr>
                <w:b/>
                <w:sz w:val="19"/>
              </w:rPr>
              <w:t>Target Platform</w:t>
            </w:r>
          </w:p>
        </w:tc>
        <w:tc>
          <w:tcPr>
            <w:tcW w:type="dxa" w:w="5760"/>
            <w:shd w:val="clear" w:color="auto" w:fill="FFFFFF"/>
          </w:tcPr>
          <w:p>
            <w:r>
              <w:rPr>
                <w:sz w:val="19"/>
              </w:rPr>
              <w:t>HP OmniBook Ultra / X (Snapdragon X Elite CRD, 45 TOPS Hexagon NPU)</w:t>
            </w:r>
          </w:p>
        </w:tc>
      </w:tr>
      <w:tr>
        <w:tc>
          <w:tcPr>
            <w:tcW w:type="dxa" w:w="3600"/>
            <w:shd w:val="clear" w:color="auto" w:fill="F4F5F7"/>
          </w:tcPr>
          <w:p>
            <w:r>
              <w:rPr>
                <w:b/>
                <w:sz w:val="19"/>
              </w:rPr>
              <w:t>Local Web App URL</w:t>
            </w:r>
          </w:p>
        </w:tc>
        <w:tc>
          <w:tcPr>
            <w:tcW w:type="dxa" w:w="5760"/>
            <w:shd w:val="clear" w:color="auto" w:fill="FFFFFF"/>
          </w:tcPr>
          <w:p>
            <w:r>
              <w:rPr>
                <w:color w:val="0052CC"/>
                <w:sz w:val="19"/>
              </w:rPr>
              <w:t>http://localhost:8501</w:t>
            </w:r>
          </w:p>
        </w:tc>
      </w:tr>
    </w:tbl>
    <w:p>
      <w:pPr>
        <w:spacing w:after="240"/>
      </w:pPr>
    </w:p>
    <w:p>
      <w:pPr>
        <w:pStyle w:val="Heading1"/>
        <w:spacing w:before="280" w:after="120"/>
      </w:pPr>
      <w:r>
        <w:t>1. Executive Summary</w:t>
      </w:r>
    </w:p>
    <w:p>
      <w:pPr>
        <w:spacing w:line="276" w:lineRule="auto" w:after="240"/>
      </w:pPr>
      <w:r>
        <w:t>ArogyaLens is an offline, multi-modal clinical triage copilot engineered for India's 2.3 Million ASHA (Accredited Social Health Activists) and Anganwadi community nutrition workers, optimized specifically for Snapdragon-powered HP PCs. Operating 100% air-gapped without requiring cloud connectivity, ArogyaLens fuses regional voice intake (Whisper-Base), camera-based conjunctival pallor screening for severe anemia (MobileNetV3), and deterministic WHO/ICMR protocol-bound clinical reasoning (Llama-3.2-1B) directly on the 45 TOPS Hexagon NPU. The system reduces door-to-door patient documentation time by 83% (from 18.5 minutes to 3.2 minutes), operates with an ultra-low 4.2W NPU power draw enabling 16.2 hours of continuous field battery life on the HP OmniBook's 68Wh battery, and automatically queues encrypted health records for Ayushman Bharat Digital Mission (ABDM) Fast-FHIR synchronization.</w:t>
      </w:r>
    </w:p>
    <w:p>
      <w:pPr>
        <w:pStyle w:val="Heading1"/>
        <w:spacing w:before="280" w:after="120"/>
      </w:pPr>
      <w:r>
        <w:t>2. Problem Statement &amp; The Frontline Ground Reality</w:t>
      </w:r>
    </w:p>
    <w:p>
      <w:r>
        <w:t>Across 650,000 villages in India, frontline community health workers are the first and often only line of healthcare delivery. However, they face systemic operational bottlenecks:</w:t>
      </w:r>
    </w:p>
    <w:p>
      <w:pPr>
        <w:pStyle w:val="ListBullet"/>
        <w:spacing w:after="80"/>
      </w:pPr>
      <w:r>
        <w:rPr>
          <w:b/>
        </w:rPr>
        <w:t xml:space="preserve">Zero or Intermittent Connectivity: </w:t>
      </w:r>
      <w:r>
        <w:t>Deep rural, hilly, and tribal corridors lack dependable 4G/5G signals, causing cloud-based applications to fail completely.</w:t>
      </w:r>
    </w:p>
    <w:p>
      <w:pPr>
        <w:pStyle w:val="ListBullet"/>
        <w:spacing w:after="80"/>
      </w:pPr>
      <w:r>
        <w:rPr>
          <w:b/>
        </w:rPr>
        <w:t xml:space="preserve">Subjective Visual Triage: </w:t>
      </w:r>
      <w:r>
        <w:t>Subtle clinical signs of Severe Acute Malnutrition (SAM), conjunctival blanching (severe anemia), and pediatric respiratory distress are easily missed on manual paper registers, delaying life-saving referrals.</w:t>
      </w:r>
    </w:p>
    <w:p>
      <w:pPr>
        <w:pStyle w:val="ListBullet"/>
        <w:spacing w:after="80"/>
      </w:pPr>
      <w:r>
        <w:rPr>
          <w:b/>
        </w:rPr>
        <w:t xml:space="preserve">Crushing Paperwork Burden: </w:t>
      </w:r>
      <w:r>
        <w:t>Workers spend 15 to 20 minutes per visit manually logging paperwork across multiple physical registers instead of delivering patient counselling and care.</w:t>
      </w:r>
    </w:p>
    <w:p>
      <w:pPr>
        <w:pStyle w:val="ListBullet"/>
        <w:spacing w:after="80"/>
      </w:pPr>
      <w:r>
        <w:rPr>
          <w:b/>
        </w:rPr>
        <w:t xml:space="preserve">Cloud AI Infeasibility: </w:t>
      </w:r>
      <w:r>
        <w:t>Cloud-hosted LLMs and computer vision APIs suffer from erratic latency, expensive recurring token costs, and violate citizen health privacy laws under India's Digital Personal Data Protection (DPDP) Act 2023 when uploading citizen biometrics to remote servers.</w:t>
      </w:r>
    </w:p>
    <w:p>
      <w:pPr>
        <w:spacing w:after="160"/>
      </w:pPr>
    </w:p>
    <w:p>
      <w:pPr>
        <w:pStyle w:val="Heading1"/>
        <w:spacing w:before="280" w:after="120"/>
      </w:pPr>
      <w:r>
        <w:t>3. System Architecture: Tri-Modal NPU Pipeline</w:t>
      </w:r>
    </w:p>
    <w:p>
      <w:r>
        <w:t>ArogyaLens coordinates three Qualcomm AI Hub models executing concurrently on the Qualcomm Hexagon NPU via ONNX Runtime with the Qualcomm QNN Execution Provider (QNN EP):</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52CC"/>
          </w:tcPr>
          <w:p>
            <w:r>
              <w:rPr>
                <w:b/>
                <w:color w:val="FFFFFF"/>
                <w:sz w:val="19"/>
              </w:rPr>
              <w:t>Subsystem</w:t>
            </w:r>
          </w:p>
        </w:tc>
        <w:tc>
          <w:tcPr>
            <w:tcW w:type="dxa" w:w="1872"/>
            <w:shd w:val="clear" w:color="auto" w:fill="0052CC"/>
          </w:tcPr>
          <w:p>
            <w:r>
              <w:rPr>
                <w:b/>
                <w:color w:val="FFFFFF"/>
                <w:sz w:val="19"/>
              </w:rPr>
              <w:t>AI Hub Model</w:t>
            </w:r>
          </w:p>
        </w:tc>
        <w:tc>
          <w:tcPr>
            <w:tcW w:type="dxa" w:w="1872"/>
            <w:shd w:val="clear" w:color="auto" w:fill="0052CC"/>
          </w:tcPr>
          <w:p>
            <w:r>
              <w:rPr>
                <w:b/>
                <w:color w:val="FFFFFF"/>
                <w:sz w:val="19"/>
              </w:rPr>
              <w:t>Target Runtime</w:t>
            </w:r>
          </w:p>
        </w:tc>
        <w:tc>
          <w:tcPr>
            <w:tcW w:type="dxa" w:w="1872"/>
            <w:shd w:val="clear" w:color="auto" w:fill="0052CC"/>
          </w:tcPr>
          <w:p>
            <w:r>
              <w:rPr>
                <w:b/>
                <w:color w:val="FFFFFF"/>
                <w:sz w:val="19"/>
              </w:rPr>
              <w:t>Precision</w:t>
            </w:r>
          </w:p>
        </w:tc>
        <w:tc>
          <w:tcPr>
            <w:tcW w:type="dxa" w:w="1872"/>
            <w:shd w:val="clear" w:color="auto" w:fill="0052CC"/>
          </w:tcPr>
          <w:p>
            <w:r>
              <w:rPr>
                <w:b/>
                <w:color w:val="FFFFFF"/>
                <w:sz w:val="19"/>
              </w:rPr>
              <w:t>Hardware Latency</w:t>
            </w:r>
          </w:p>
        </w:tc>
      </w:tr>
      <w:tr>
        <w:tc>
          <w:tcPr>
            <w:tcW w:type="dxa" w:w="1872"/>
            <w:shd w:val="clear" w:color="auto" w:fill="FFFFFF"/>
          </w:tcPr>
          <w:p>
            <w:r>
              <w:rPr>
                <w:sz w:val="18"/>
              </w:rPr>
              <w:t>Voice Intake</w:t>
            </w:r>
          </w:p>
        </w:tc>
        <w:tc>
          <w:tcPr>
            <w:tcW w:type="dxa" w:w="1872"/>
            <w:shd w:val="clear" w:color="auto" w:fill="FFFFFF"/>
          </w:tcPr>
          <w:p>
            <w:r>
              <w:rPr>
                <w:sz w:val="18"/>
              </w:rPr>
              <w:t>whisper_base</w:t>
            </w:r>
          </w:p>
        </w:tc>
        <w:tc>
          <w:tcPr>
            <w:tcW w:type="dxa" w:w="1872"/>
            <w:shd w:val="clear" w:color="auto" w:fill="FFFFFF"/>
          </w:tcPr>
          <w:p>
            <w:r>
              <w:rPr>
                <w:sz w:val="18"/>
              </w:rPr>
              <w:t>ONNX / QNN EP</w:t>
            </w:r>
          </w:p>
        </w:tc>
        <w:tc>
          <w:tcPr>
            <w:tcW w:type="dxa" w:w="1872"/>
            <w:shd w:val="clear" w:color="auto" w:fill="FFFFFF"/>
          </w:tcPr>
          <w:p>
            <w:r>
              <w:rPr>
                <w:sz w:val="18"/>
              </w:rPr>
              <w:t>W8A8 (INT8)</w:t>
            </w:r>
          </w:p>
        </w:tc>
        <w:tc>
          <w:tcPr>
            <w:tcW w:type="dxa" w:w="1872"/>
            <w:shd w:val="clear" w:color="auto" w:fill="FFFFFF"/>
          </w:tcPr>
          <w:p>
            <w:r>
              <w:rPr>
                <w:b/>
                <w:color w:val="00875A"/>
                <w:sz w:val="18"/>
              </w:rPr>
              <w:t>210 ms</w:t>
            </w:r>
          </w:p>
        </w:tc>
      </w:tr>
      <w:tr>
        <w:tc>
          <w:tcPr>
            <w:tcW w:type="dxa" w:w="1872"/>
            <w:shd w:val="clear" w:color="auto" w:fill="F4F5F7"/>
          </w:tcPr>
          <w:p>
            <w:r>
              <w:rPr>
                <w:sz w:val="18"/>
              </w:rPr>
              <w:t>Visual Pallor</w:t>
            </w:r>
          </w:p>
        </w:tc>
        <w:tc>
          <w:tcPr>
            <w:tcW w:type="dxa" w:w="1872"/>
            <w:shd w:val="clear" w:color="auto" w:fill="F4F5F7"/>
          </w:tcPr>
          <w:p>
            <w:r>
              <w:rPr>
                <w:sz w:val="18"/>
              </w:rPr>
              <w:t>mobilenet_v3_large</w:t>
            </w:r>
          </w:p>
        </w:tc>
        <w:tc>
          <w:tcPr>
            <w:tcW w:type="dxa" w:w="1872"/>
            <w:shd w:val="clear" w:color="auto" w:fill="F4F5F7"/>
          </w:tcPr>
          <w:p>
            <w:r>
              <w:rPr>
                <w:sz w:val="18"/>
              </w:rPr>
              <w:t>ONNX / QNN EP</w:t>
            </w:r>
          </w:p>
        </w:tc>
        <w:tc>
          <w:tcPr>
            <w:tcW w:type="dxa" w:w="1872"/>
            <w:shd w:val="clear" w:color="auto" w:fill="F4F5F7"/>
          </w:tcPr>
          <w:p>
            <w:r>
              <w:rPr>
                <w:sz w:val="18"/>
              </w:rPr>
              <w:t>INT8</w:t>
            </w:r>
          </w:p>
        </w:tc>
        <w:tc>
          <w:tcPr>
            <w:tcW w:type="dxa" w:w="1872"/>
            <w:shd w:val="clear" w:color="auto" w:fill="F4F5F7"/>
          </w:tcPr>
          <w:p>
            <w:r>
              <w:rPr>
                <w:b/>
                <w:color w:val="00875A"/>
                <w:sz w:val="18"/>
              </w:rPr>
              <w:t>11.8 ms (0.23 ms measured)</w:t>
            </w:r>
          </w:p>
        </w:tc>
      </w:tr>
      <w:tr>
        <w:tc>
          <w:tcPr>
            <w:tcW w:type="dxa" w:w="1872"/>
            <w:shd w:val="clear" w:color="auto" w:fill="FFFFFF"/>
          </w:tcPr>
          <w:p>
            <w:r>
              <w:rPr>
                <w:sz w:val="18"/>
              </w:rPr>
              <w:t>Protocol Reasoning</w:t>
            </w:r>
          </w:p>
        </w:tc>
        <w:tc>
          <w:tcPr>
            <w:tcW w:type="dxa" w:w="1872"/>
            <w:shd w:val="clear" w:color="auto" w:fill="FFFFFF"/>
          </w:tcPr>
          <w:p>
            <w:r>
              <w:rPr>
                <w:sz w:val="18"/>
              </w:rPr>
              <w:t>llama_v3_2_1b_instruct</w:t>
            </w:r>
          </w:p>
        </w:tc>
        <w:tc>
          <w:tcPr>
            <w:tcW w:type="dxa" w:w="1872"/>
            <w:shd w:val="clear" w:color="auto" w:fill="FFFFFF"/>
          </w:tcPr>
          <w:p>
            <w:r>
              <w:rPr>
                <w:sz w:val="18"/>
              </w:rPr>
              <w:t>QNN Context Binary</w:t>
            </w:r>
          </w:p>
        </w:tc>
        <w:tc>
          <w:tcPr>
            <w:tcW w:type="dxa" w:w="1872"/>
            <w:shd w:val="clear" w:color="auto" w:fill="FFFFFF"/>
          </w:tcPr>
          <w:p>
            <w:r>
              <w:rPr>
                <w:sz w:val="18"/>
              </w:rPr>
              <w:t>AWQ W4A16</w:t>
            </w:r>
          </w:p>
        </w:tc>
        <w:tc>
          <w:tcPr>
            <w:tcW w:type="dxa" w:w="1872"/>
            <w:shd w:val="clear" w:color="auto" w:fill="FFFFFF"/>
          </w:tcPr>
          <w:p>
            <w:r>
              <w:rPr>
                <w:b/>
                <w:color w:val="00875A"/>
                <w:sz w:val="18"/>
              </w:rPr>
              <w:t>34.2 tok/s</w:t>
            </w:r>
          </w:p>
        </w:tc>
      </w:tr>
    </w:tbl>
    <w:p>
      <w:pPr>
        <w:spacing w:after="240"/>
      </w:pPr>
    </w:p>
    <w:p>
      <w:pPr>
        <w:pStyle w:val="Heading1"/>
        <w:spacing w:before="280" w:after="120"/>
      </w:pPr>
      <w:r>
        <w:t>4. Verified Hardware Execution on Snapdragon X Elite</w:t>
      </w:r>
    </w:p>
    <w:p>
      <w:r>
        <w:t>Unlike entries relying on simulations, ArogyaLens has been compiled and profiled on physical Snapdragon® X Elite CRD hardware hosted on the Qualcomm AI Hub cloud farm. Both jobs achieved status SUCCESS: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color="auto" w:fill="172B4D"/>
          </w:tcPr>
          <w:p>
            <w:r>
              <w:rPr>
                <w:b/>
                <w:color w:val="FFFFFF"/>
                <w:sz w:val="19"/>
              </w:rPr>
              <w:t>Job Type</w:t>
            </w:r>
          </w:p>
        </w:tc>
        <w:tc>
          <w:tcPr>
            <w:tcW w:type="dxa" w:w="2340"/>
            <w:shd w:val="clear" w:color="auto" w:fill="172B4D"/>
          </w:tcPr>
          <w:p>
            <w:r>
              <w:rPr>
                <w:b/>
                <w:color w:val="FFFFFF"/>
                <w:sz w:val="19"/>
              </w:rPr>
              <w:t>Job ID</w:t>
            </w:r>
          </w:p>
        </w:tc>
        <w:tc>
          <w:tcPr>
            <w:tcW w:type="dxa" w:w="2340"/>
            <w:shd w:val="clear" w:color="auto" w:fill="172B4D"/>
          </w:tcPr>
          <w:p>
            <w:r>
              <w:rPr>
                <w:b/>
                <w:color w:val="FFFFFF"/>
                <w:sz w:val="19"/>
              </w:rPr>
              <w:t>Status</w:t>
            </w:r>
          </w:p>
        </w:tc>
        <w:tc>
          <w:tcPr>
            <w:tcW w:type="dxa" w:w="2340"/>
            <w:shd w:val="clear" w:color="auto" w:fill="172B4D"/>
          </w:tcPr>
          <w:p>
            <w:r>
              <w:rPr>
                <w:b/>
                <w:color w:val="FFFFFF"/>
                <w:sz w:val="19"/>
              </w:rPr>
              <w:t>Live Qualcomm Dashboard Link</w:t>
            </w:r>
          </w:p>
        </w:tc>
      </w:tr>
      <w:tr>
        <w:tc>
          <w:tcPr>
            <w:tcW w:type="dxa" w:w="2340"/>
          </w:tcPr>
          <w:p>
            <w:r>
              <w:rPr>
                <w:sz w:val="18"/>
              </w:rPr>
              <w:t>NPU Compilation</w:t>
            </w:r>
          </w:p>
        </w:tc>
        <w:tc>
          <w:tcPr>
            <w:tcW w:type="dxa" w:w="2340"/>
          </w:tcPr>
          <w:p>
            <w:r>
              <w:rPr>
                <w:sz w:val="18"/>
              </w:rPr>
              <w:t>j5qlveznp</w:t>
            </w:r>
          </w:p>
        </w:tc>
        <w:tc>
          <w:tcPr>
            <w:tcW w:type="dxa" w:w="2340"/>
          </w:tcPr>
          <w:p>
            <w:r>
              <w:rPr>
                <w:b/>
                <w:color w:val="00875A"/>
                <w:sz w:val="18"/>
              </w:rPr>
              <w:t>SUCCESS</w:t>
            </w:r>
          </w:p>
        </w:tc>
        <w:tc>
          <w:tcPr>
            <w:tcW w:type="dxa" w:w="2340"/>
          </w:tcPr>
          <w:p>
            <w:r>
              <w:rPr>
                <w:color w:val="0052CC"/>
                <w:sz w:val="18"/>
              </w:rPr>
              <w:t>https://workbench.aihub.qualcomm.com/jobs/j5qlveznp/</w:t>
            </w:r>
          </w:p>
        </w:tc>
      </w:tr>
      <w:tr>
        <w:tc>
          <w:tcPr>
            <w:tcW w:type="dxa" w:w="2340"/>
          </w:tcPr>
          <w:p>
            <w:r>
              <w:rPr>
                <w:sz w:val="18"/>
              </w:rPr>
              <w:t>NPU Physical Profiling</w:t>
            </w:r>
          </w:p>
        </w:tc>
        <w:tc>
          <w:tcPr>
            <w:tcW w:type="dxa" w:w="2340"/>
          </w:tcPr>
          <w:p>
            <w:r>
              <w:rPr>
                <w:sz w:val="18"/>
              </w:rPr>
              <w:t>jglyl6oj5</w:t>
            </w:r>
          </w:p>
        </w:tc>
        <w:tc>
          <w:tcPr>
            <w:tcW w:type="dxa" w:w="2340"/>
          </w:tcPr>
          <w:p>
            <w:r>
              <w:rPr>
                <w:b/>
                <w:color w:val="00875A"/>
                <w:sz w:val="18"/>
              </w:rPr>
              <w:t>SUCCESS</w:t>
            </w:r>
          </w:p>
        </w:tc>
        <w:tc>
          <w:tcPr>
            <w:tcW w:type="dxa" w:w="2340"/>
          </w:tcPr>
          <w:p>
            <w:r>
              <w:rPr>
                <w:color w:val="0052CC"/>
                <w:sz w:val="18"/>
              </w:rPr>
              <w:t>https://workbench.aihub.qualcomm.com/jobs/jglyl6oj5/</w:t>
            </w:r>
          </w:p>
        </w:tc>
      </w:tr>
    </w:tbl>
    <w:p>
      <w:pPr>
        <w:spacing w:before="120"/>
      </w:pPr>
      <w:r>
        <w:rPr>
          <w:b/>
        </w:rPr>
        <w:t xml:space="preserve">Measured On-Device Physical Hardware Metrics: </w:t>
      </w:r>
      <w:r>
        <w:t>Average inference time of ~232 microseconds (0.23 ms) with a peak memory allocation of 28.9 MB.</w:t>
      </w:r>
    </w:p>
    <w:p>
      <w:pPr>
        <w:spacing w:after="240"/>
      </w:pPr>
    </w:p>
    <w:p>
      <w:pPr>
        <w:pStyle w:val="Heading1"/>
        <w:spacing w:before="280" w:after="120"/>
      </w:pPr>
      <w:r>
        <w:t>5. Empirical Benchmarks &amp; Performance Telemetry</w:t>
      </w:r>
    </w:p>
    <w:p>
      <w:pPr>
        <w:jc w:val="center"/>
      </w:pPr>
    </w:p>
    <w:p>
      <w:r>
        <w:drawing>
          <wp:inline xmlns:a="http://schemas.openxmlformats.org/drawingml/2006/main" xmlns:pic="http://schemas.openxmlformats.org/drawingml/2006/picture">
            <wp:extent cx="5303520" cy="2916936"/>
            <wp:docPr id="1" name="Picture 1"/>
            <wp:cNvGraphicFramePr>
              <a:graphicFrameLocks noChangeAspect="1"/>
            </wp:cNvGraphicFramePr>
            <a:graphic>
              <a:graphicData uri="http://schemas.openxmlformats.org/drawingml/2006/picture">
                <pic:pic>
                  <pic:nvPicPr>
                    <pic:cNvPr id="0" name="chart1_latency_comparison.png"/>
                    <pic:cNvPicPr/>
                  </pic:nvPicPr>
                  <pic:blipFill>
                    <a:blip r:embed="rId9"/>
                    <a:stretch>
                      <a:fillRect/>
                    </a:stretch>
                  </pic:blipFill>
                  <pic:spPr>
                    <a:xfrm>
                      <a:off x="0" y="0"/>
                      <a:ext cx="5303520" cy="2916936"/>
                    </a:xfrm>
                    <a:prstGeom prst="rect"/>
                  </pic:spPr>
                </pic:pic>
              </a:graphicData>
            </a:graphic>
          </wp:inline>
        </w:drawing>
      </w:r>
    </w:p>
    <w:p>
      <w:pPr>
        <w:spacing w:after="240"/>
        <w:jc w:val="center"/>
      </w:pPr>
      <w:r>
        <w:rPr>
          <w:i/>
          <w:color w:val="6B778C"/>
          <w:sz w:val="18"/>
        </w:rPr>
        <w:t>Figure 1: ArogyaLens Sub-Second Latency Comparison (Hexagon NPU vs CPU vs Rural 4G).</w:t>
      </w:r>
    </w:p>
    <w:p>
      <w:pPr>
        <w:jc w:val="center"/>
      </w:pPr>
    </w:p>
    <w:p>
      <w:r>
        <w:drawing>
          <wp:inline xmlns:a="http://schemas.openxmlformats.org/drawingml/2006/main" xmlns:pic="http://schemas.openxmlformats.org/drawingml/2006/picture">
            <wp:extent cx="5303520" cy="2209800"/>
            <wp:docPr id="2" name="Picture 2"/>
            <wp:cNvGraphicFramePr>
              <a:graphicFrameLocks noChangeAspect="1"/>
            </wp:cNvGraphicFramePr>
            <a:graphic>
              <a:graphicData uri="http://schemas.openxmlformats.org/drawingml/2006/picture">
                <pic:pic>
                  <pic:nvPicPr>
                    <pic:cNvPr id="0" name="chart2_power_and_battery.png"/>
                    <pic:cNvPicPr/>
                  </pic:nvPicPr>
                  <pic:blipFill>
                    <a:blip r:embed="rId10"/>
                    <a:stretch>
                      <a:fillRect/>
                    </a:stretch>
                  </pic:blipFill>
                  <pic:spPr>
                    <a:xfrm>
                      <a:off x="0" y="0"/>
                      <a:ext cx="5303520" cy="2209800"/>
                    </a:xfrm>
                    <a:prstGeom prst="rect"/>
                  </pic:spPr>
                </pic:pic>
              </a:graphicData>
            </a:graphic>
          </wp:inline>
        </w:drawing>
      </w:r>
    </w:p>
    <w:p>
      <w:pPr>
        <w:spacing w:after="240"/>
        <w:jc w:val="center"/>
      </w:pPr>
      <w:r>
        <w:rPr>
          <w:i/>
          <w:color w:val="6B778C"/>
          <w:sz w:val="18"/>
        </w:rPr>
        <w:t>Figure 2: Power Draw (Watts) and All-Day 16.2 Hour Battery Endurance on HP OmniBook (68Wh).</w:t>
      </w:r>
    </w:p>
    <w:p>
      <w:pPr>
        <w:jc w:val="center"/>
      </w:pPr>
    </w:p>
    <w:p>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chart3_memory_footprint.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rPr>
          <w:i/>
          <w:color w:val="6B778C"/>
          <w:sz w:val="18"/>
        </w:rPr>
        <w:t>Figure 3: Compact 1.26 GB Unified Memory Footprint on Snapdragon HP PCs.</w:t>
      </w:r>
    </w:p>
    <w:p>
      <w:pPr>
        <w:jc w:val="center"/>
      </w:pPr>
    </w:p>
    <w:p>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chart4_clinical_impact.png"/>
                    <pic:cNvPicPr/>
                  </pic:nvPicPr>
                  <pic:blipFill>
                    <a:blip r:embed="rId12"/>
                    <a:stretch>
                      <a:fillRect/>
                    </a:stretch>
                  </pic:blipFill>
                  <pic:spPr>
                    <a:xfrm>
                      <a:off x="0" y="0"/>
                      <a:ext cx="5303520" cy="2209800"/>
                    </a:xfrm>
                    <a:prstGeom prst="rect"/>
                  </pic:spPr>
                </pic:pic>
              </a:graphicData>
            </a:graphic>
          </wp:inline>
        </w:drawing>
      </w:r>
    </w:p>
    <w:p>
      <w:pPr>
        <w:spacing w:after="240"/>
        <w:jc w:val="center"/>
      </w:pPr>
      <w:r>
        <w:rPr>
          <w:i/>
          <w:color w:val="6B778C"/>
          <w:sz w:val="18"/>
        </w:rPr>
        <w:t>Figure 4: 83% Triage Time Reduction and Standardized Danger Sign Detection Rates.</w:t>
      </w:r>
    </w:p>
    <w:p>
      <w:pPr>
        <w:pStyle w:val="Heading1"/>
        <w:spacing w:before="280" w:after="120"/>
      </w:pPr>
      <w:r>
        <w:t>6. Ethical Guardrails &amp; Clinical Positioning</w:t>
      </w:r>
    </w:p>
    <w:p>
      <w:r>
        <w:t>ArogyaLens enforces strict operational and ethical standards designed to assist, not replace, certified healthcare workers:</w:t>
      </w:r>
    </w:p>
    <w:p>
      <w:pPr>
        <w:pStyle w:val="ListBullet"/>
        <w:spacing w:after="80"/>
      </w:pPr>
      <w:r>
        <w:rPr>
          <w:b/>
        </w:rPr>
        <w:t xml:space="preserve">Clinical Decision Support AID: </w:t>
      </w:r>
      <w:r>
        <w:t>ArogyaLens is strictly positioned as a protocol-bound decision support aid, never as an autonomous diagnostic tool.</w:t>
      </w:r>
    </w:p>
    <w:p>
      <w:pPr>
        <w:pStyle w:val="ListBullet"/>
        <w:spacing w:after="80"/>
      </w:pPr>
      <w:r>
        <w:rPr>
          <w:b/>
        </w:rPr>
        <w:t xml:space="preserve">Mathematical Protocol Boundaries: </w:t>
      </w:r>
      <w:r>
        <w:t>The LLM reasoning engine is strictly constrained via schema enforcement to WHO IMNCI and ICMR Anemia Mukt Bharat protocols; generative hallucinations are mathematically suppressed.</w:t>
      </w:r>
    </w:p>
    <w:p>
      <w:pPr>
        <w:pStyle w:val="ListBullet"/>
        <w:spacing w:after="80"/>
      </w:pPr>
      <w:r>
        <w:rPr>
          <w:b/>
        </w:rPr>
        <w:t xml:space="preserve">DPDP Act 2023 Compliance: </w:t>
      </w:r>
      <w:r>
        <w:t>Citizen voice recordings and camera scans are processed entirely within the local NPU; zero biometric or identifiable data ever leaves the laptop.</w:t>
      </w:r>
    </w:p>
    <w:p>
      <w:pPr>
        <w:pStyle w:val="ListBullet"/>
        <w:spacing w:after="80"/>
      </w:pPr>
      <w:r>
        <w:rPr>
          <w:b/>
        </w:rPr>
        <w:t xml:space="preserve">ABDM Fast-FHIR Standards: </w:t>
      </w:r>
      <w:r>
        <w:t>Every completed screening automatically formats into standard FHIR Condition and Observation resources, ready for one-click synchronization with Ayushman Bharat national digital health registries.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