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i w:val="0"/>
          <w:color w:val="003366"/>
          <w:sz w:val="44"/>
        </w:rPr>
        <w:t>CYBERSECURITY RISK ASSESSMENT FRAMEWORK</w:t>
      </w:r>
    </w:p>
    <w:p>
      <w:pPr>
        <w:spacing w:after="120"/>
        <w:jc w:val="center"/>
      </w:pPr>
      <w:r>
        <w:rPr>
          <w:rFonts w:ascii="Calibri" w:hAnsi="Calibri"/>
          <w:b/>
          <w:i w:val="0"/>
          <w:color w:val="003366"/>
          <w:sz w:val="36"/>
        </w:rPr>
        <w:t>FOR SMALL AND MEDIUM ENTERPRISES (SMEs)</w:t>
      </w:r>
    </w:p>
    <w:p/>
    <w:p>
      <w:pPr>
        <w:jc w:val="center"/>
      </w:pPr>
      <w:r>
        <w:rPr>
          <w:rFonts w:ascii="Calibri" w:hAnsi="Calibri"/>
          <w:b w:val="0"/>
          <w:i/>
          <w:color w:val="505050"/>
          <w:sz w:val="28"/>
        </w:rPr>
        <w:t>Minor Project - 1</w:t>
      </w:r>
    </w:p>
    <w:p/>
    <w:p/>
    <w:p>
      <w:pPr>
        <w:jc w:val="center"/>
      </w:pPr>
      <w:r>
        <w:rPr>
          <w:rFonts w:ascii="Calibri" w:hAnsi="Calibri"/>
          <w:b/>
          <w:i w:val="0"/>
          <w:color w:val="003366"/>
          <w:sz w:val="24"/>
        </w:rPr>
        <w:t xml:space="preserve">Submitted to: </w:t>
      </w:r>
      <w:r>
        <w:rPr>
          <w:rFonts w:ascii="Calibri" w:hAnsi="Calibri"/>
          <w:b w:val="0"/>
          <w:i w:val="0"/>
          <w:sz w:val="24"/>
        </w:rPr>
        <w:t>Naviotech Solution Pvt. Ltd</w:t>
      </w:r>
    </w:p>
    <w:p>
      <w:pPr>
        <w:jc w:val="center"/>
      </w:pPr>
      <w:r>
        <w:rPr>
          <w:rFonts w:ascii="Calibri" w:hAnsi="Calibri"/>
          <w:b/>
          <w:i w:val="0"/>
          <w:color w:val="003366"/>
          <w:sz w:val="24"/>
        </w:rPr>
        <w:t xml:space="preserve">Internship Program: </w:t>
      </w:r>
      <w:r>
        <w:rPr>
          <w:rFonts w:ascii="Calibri" w:hAnsi="Calibri"/>
          <w:b w:val="0"/>
          <w:i w:val="0"/>
          <w:sz w:val="24"/>
        </w:rPr>
        <w:t>Cybersecurity</w:t>
      </w:r>
    </w:p>
    <w:p>
      <w:pPr>
        <w:jc w:val="center"/>
      </w:pPr>
      <w:r>
        <w:rPr>
          <w:rFonts w:ascii="Calibri" w:hAnsi="Calibri"/>
          <w:b/>
          <w:i w:val="0"/>
          <w:color w:val="003366"/>
          <w:sz w:val="24"/>
        </w:rPr>
        <w:t xml:space="preserve">Submission Date: </w:t>
      </w:r>
      <w:r>
        <w:rPr>
          <w:rFonts w:ascii="Calibri" w:hAnsi="Calibri"/>
          <w:b w:val="0"/>
          <w:i w:val="0"/>
          <w:sz w:val="24"/>
        </w:rPr>
        <w:t>15th March 2026</w:t>
      </w:r>
    </w:p>
    <w:p>
      <w:r>
        <w:br w:type="page"/>
      </w:r>
    </w:p>
    <w:p>
      <w:pPr>
        <w:spacing w:before="280" w:after="120"/>
      </w:pPr>
      <w:r>
        <w:rPr>
          <w:rFonts w:ascii="Calibri" w:hAnsi="Calibri"/>
          <w:b/>
          <w:i w:val="0"/>
          <w:color w:val="003366"/>
          <w:sz w:val="36"/>
        </w:rPr>
        <w:t>1. Abstract</w:t>
      </w:r>
    </w:p>
    <w:p>
      <w:pPr>
        <w:spacing w:after="120"/>
      </w:pPr>
      <w:r>
        <w:rPr>
          <w:rFonts w:ascii="Calibri" w:hAnsi="Calibri"/>
          <w:b w:val="0"/>
          <w:i w:val="0"/>
          <w:sz w:val="22"/>
        </w:rPr>
        <w:t>This project presents a comprehensive Cybersecurity Risk Assessment Framework tailored for Small and Medium Enterprises (SMEs). SMEs face growing cybersecurity threats but often lack the resources and expertise to implement enterprise-level security measures. This framework leverages the NIST Cybersecurity Framework (CSF) as a foundation, incorporating a structured risk evaluation metric and practical mitigation strategies.</w:t>
      </w:r>
    </w:p>
    <w:p>
      <w:pPr>
        <w:spacing w:after="120"/>
      </w:pPr>
      <w:r>
        <w:rPr>
          <w:rFonts w:ascii="Calibri" w:hAnsi="Calibri"/>
          <w:b w:val="0"/>
          <w:i w:val="0"/>
          <w:sz w:val="22"/>
        </w:rPr>
        <w:t>The framework identifies key threat vectors including phishing, ransomware, and insider threats, ranks them by severity and business impact, and proposes proportionate countermeasures. Case studies from three business scenarios validate the model's effectiveness. The ultimate goal is to provide SME owners and IT managers with an actionable, cost-effective guide to strengthen their cybersecurity posture.</w:t>
      </w:r>
    </w:p>
    <w:p>
      <w:pPr>
        <w:spacing w:before="280" w:after="120"/>
      </w:pPr>
      <w:r>
        <w:rPr>
          <w:rFonts w:ascii="Calibri" w:hAnsi="Calibri"/>
          <w:b/>
          <w:i w:val="0"/>
          <w:color w:val="003366"/>
          <w:sz w:val="36"/>
        </w:rPr>
        <w:t>2. Introduction</w:t>
      </w:r>
    </w:p>
    <w:p>
      <w:pPr>
        <w:spacing w:after="120"/>
      </w:pPr>
      <w:r>
        <w:rPr>
          <w:rFonts w:ascii="Calibri" w:hAnsi="Calibri"/>
          <w:b w:val="0"/>
          <w:i w:val="0"/>
          <w:sz w:val="22"/>
        </w:rPr>
        <w:t>Small and Medium Enterprises (SMEs) form the backbone of most economies, yet they remain disproportionately vulnerable to cyber attacks. According to industry studies, over 43% of cyberattacks target small businesses, and approximately 60% of affected SMEs close within six months of a major breach.</w:t>
      </w:r>
    </w:p>
    <w:p>
      <w:pPr>
        <w:spacing w:before="280" w:after="120"/>
      </w:pPr>
      <w:r>
        <w:rPr>
          <w:rFonts w:ascii="Calibri" w:hAnsi="Calibri"/>
          <w:b/>
          <w:i w:val="0"/>
          <w:color w:val="003366"/>
          <w:sz w:val="28"/>
        </w:rPr>
        <w:t>2.1 Problem Statement</w:t>
      </w:r>
    </w:p>
    <w:p>
      <w:pPr>
        <w:spacing w:after="120"/>
      </w:pPr>
      <w:r>
        <w:rPr>
          <w:rFonts w:ascii="Calibri" w:hAnsi="Calibri"/>
          <w:b w:val="0"/>
          <w:i w:val="0"/>
          <w:sz w:val="22"/>
        </w:rPr>
        <w:t>SMEs typically operate with limited IT budgets, lack dedicated cybersecurity personnel, and often rely on outdated systems. This creates a fertile environment for threat actors who view them as low-risk, high-reward targets. The absence of a structured risk assessment process means many vulnerabilities go undetected until a breach occurs.</w:t>
      </w:r>
    </w:p>
    <w:p>
      <w:pPr>
        <w:spacing w:before="280" w:after="120"/>
      </w:pPr>
      <w:r>
        <w:rPr>
          <w:rFonts w:ascii="Calibri" w:hAnsi="Calibri"/>
          <w:b/>
          <w:i w:val="0"/>
          <w:color w:val="003366"/>
          <w:sz w:val="28"/>
        </w:rPr>
        <w:t>2.2 Objectives</w:t>
      </w:r>
    </w:p>
    <w:p>
      <w:pPr>
        <w:pStyle w:val="ListBullet"/>
        <w:spacing w:after="80"/>
      </w:pPr>
      <w:r>
        <w:rPr>
          <w:rFonts w:ascii="Calibri" w:hAnsi="Calibri"/>
          <w:b w:val="0"/>
          <w:i w:val="0"/>
          <w:sz w:val="22"/>
        </w:rPr>
        <w:t>Research and catalogue common cybersecurity risks targeting SMEs.</w:t>
      </w:r>
    </w:p>
    <w:p>
      <w:pPr>
        <w:pStyle w:val="ListBullet"/>
        <w:spacing w:after="80"/>
      </w:pPr>
      <w:r>
        <w:rPr>
          <w:rFonts w:ascii="Calibri" w:hAnsi="Calibri"/>
          <w:b w:val="0"/>
          <w:i w:val="0"/>
          <w:sz w:val="22"/>
        </w:rPr>
        <w:t>Develop a structured risk assessment model based on the NIST Cybersecurity Framework.</w:t>
      </w:r>
    </w:p>
    <w:p>
      <w:pPr>
        <w:pStyle w:val="ListBullet"/>
        <w:spacing w:after="80"/>
      </w:pPr>
      <w:r>
        <w:rPr>
          <w:rFonts w:ascii="Calibri" w:hAnsi="Calibri"/>
          <w:b w:val="0"/>
          <w:i w:val="0"/>
          <w:sz w:val="22"/>
        </w:rPr>
        <w:t>Create a quantitative risk evaluation metric to prioritize threats.</w:t>
      </w:r>
    </w:p>
    <w:p>
      <w:pPr>
        <w:pStyle w:val="ListBullet"/>
        <w:spacing w:after="80"/>
      </w:pPr>
      <w:r>
        <w:rPr>
          <w:rFonts w:ascii="Calibri" w:hAnsi="Calibri"/>
          <w:b w:val="0"/>
          <w:i w:val="0"/>
          <w:sz w:val="22"/>
        </w:rPr>
        <w:t>Propose practical and cost-effective mitigation strategies.</w:t>
      </w:r>
    </w:p>
    <w:p>
      <w:pPr>
        <w:pStyle w:val="ListBullet"/>
        <w:spacing w:after="80"/>
      </w:pPr>
      <w:r>
        <w:rPr>
          <w:rFonts w:ascii="Calibri" w:hAnsi="Calibri"/>
          <w:b w:val="0"/>
          <w:i w:val="0"/>
          <w:sz w:val="22"/>
        </w:rPr>
        <w:t>Validate the framework through business case studies.</w:t>
      </w:r>
    </w:p>
    <w:p>
      <w:pPr>
        <w:pStyle w:val="ListBullet"/>
        <w:spacing w:after="80"/>
      </w:pPr>
      <w:r>
        <w:rPr>
          <w:rFonts w:ascii="Calibri" w:hAnsi="Calibri"/>
          <w:b w:val="0"/>
          <w:i w:val="0"/>
          <w:sz w:val="22"/>
        </w:rPr>
        <w:t>Document best practices for ongoing SME cybersecurity management.</w:t>
      </w:r>
    </w:p>
    <w:p>
      <w:pPr>
        <w:spacing w:before="280" w:after="120"/>
      </w:pPr>
      <w:r>
        <w:rPr>
          <w:rFonts w:ascii="Calibri" w:hAnsi="Calibri"/>
          <w:b/>
          <w:i w:val="0"/>
          <w:color w:val="003366"/>
          <w:sz w:val="28"/>
        </w:rPr>
        <w:t>2.3 Scope</w:t>
      </w:r>
    </w:p>
    <w:p>
      <w:pPr>
        <w:spacing w:after="120"/>
      </w:pPr>
      <w:r>
        <w:rPr>
          <w:rFonts w:ascii="Calibri" w:hAnsi="Calibri"/>
          <w:b w:val="0"/>
          <w:i w:val="0"/>
          <w:sz w:val="22"/>
        </w:rPr>
        <w:t>This framework is applicable to SMEs with 10–250 employees across sectors including retail, healthcare, finance, and professional services. It is designed to be technology-agnostic and adaptable to organizations at various stages of cybersecurity maturity.</w:t>
      </w:r>
    </w:p>
    <w:p>
      <w:pPr>
        <w:spacing w:before="280" w:after="120"/>
      </w:pPr>
      <w:r>
        <w:rPr>
          <w:rFonts w:ascii="Calibri" w:hAnsi="Calibri"/>
          <w:b/>
          <w:i w:val="0"/>
          <w:color w:val="003366"/>
          <w:sz w:val="36"/>
        </w:rPr>
        <w:t>3. Common Cybersecurity Risks in SMEs</w:t>
      </w:r>
    </w:p>
    <w:p>
      <w:pPr>
        <w:spacing w:after="120"/>
      </w:pPr>
      <w:r>
        <w:rPr>
          <w:rFonts w:ascii="Calibri" w:hAnsi="Calibri"/>
          <w:b w:val="0"/>
          <w:i w:val="0"/>
          <w:sz w:val="22"/>
        </w:rPr>
        <w:t>Research into SME-specific threat landscapes reveals several dominant risk categories. The following section details the most prevalent threats, their attack vectors, and typical business impact.</w:t>
      </w:r>
    </w:p>
    <w:p>
      <w:pPr>
        <w:spacing w:before="280" w:after="120"/>
      </w:pPr>
      <w:r>
        <w:rPr>
          <w:rFonts w:ascii="Calibri" w:hAnsi="Calibri"/>
          <w:b/>
          <w:i w:val="0"/>
          <w:color w:val="003366"/>
          <w:sz w:val="28"/>
        </w:rPr>
        <w:t>3.1 Phishing Attacks</w:t>
      </w:r>
    </w:p>
    <w:p>
      <w:pPr>
        <w:spacing w:after="120"/>
      </w:pPr>
      <w:r>
        <w:rPr>
          <w:rFonts w:ascii="Calibri" w:hAnsi="Calibri"/>
          <w:b w:val="0"/>
          <w:i w:val="0"/>
          <w:sz w:val="22"/>
        </w:rPr>
        <w:t>Phishing remains the most prevalent attack vector against SMEs. Attackers impersonate trusted entities via email, SMS, or voice calls to trick employees into divulging credentials, clicking malicious links, or transferring funds.</w:t>
      </w:r>
    </w:p>
    <w:p>
      <w:pPr>
        <w:spacing w:after="120"/>
      </w:pPr>
      <w:r>
        <w:rPr>
          <w:rFonts w:ascii="Calibri" w:hAnsi="Calibri"/>
          <w:b w:val="0"/>
          <w:i w:val="0"/>
          <w:sz w:val="22"/>
        </w:rPr>
        <w:t>Key variants include spear-phishing (targeted), whaling (targeting executives), smishing (SMS-based), and vishing (voice-based). The 2024 Verizon Data Breach Investigations Report confirmed phishing as the leading initial access vector in 36% of breaches.</w:t>
      </w:r>
    </w:p>
    <w:p>
      <w:pPr>
        <w:spacing w:before="280" w:after="120"/>
      </w:pPr>
      <w:r>
        <w:rPr>
          <w:rFonts w:ascii="Calibri" w:hAnsi="Calibri"/>
          <w:b/>
          <w:i w:val="0"/>
          <w:color w:val="003366"/>
          <w:sz w:val="28"/>
        </w:rPr>
        <w:t>3.2 Ransomware</w:t>
      </w:r>
    </w:p>
    <w:p>
      <w:pPr>
        <w:spacing w:after="120"/>
      </w:pPr>
      <w:r>
        <w:rPr>
          <w:rFonts w:ascii="Calibri" w:hAnsi="Calibri"/>
          <w:b w:val="0"/>
          <w:i w:val="0"/>
          <w:sz w:val="22"/>
        </w:rPr>
        <w:t>Ransomware encrypts organizational data and demands payment for decryption keys. Modern ransomware operations use double-extortion techniques — encrypting data and threatening to publish sensitive information publicly. SMEs are prime targets due to weaker backup practices and higher likelihood of paying ransoms.</w:t>
      </w:r>
    </w:p>
    <w:p>
      <w:pPr>
        <w:spacing w:after="120"/>
      </w:pPr>
      <w:r>
        <w:rPr>
          <w:rFonts w:ascii="Calibri" w:hAnsi="Calibri"/>
          <w:b w:val="0"/>
          <w:i w:val="0"/>
          <w:sz w:val="22"/>
        </w:rPr>
        <w:t>Notable ransomware families targeting SMEs include LockBit, BlackCat (ALPHV), and Cl0p. Average ransom demands for SMEs range from $50,000 to $300,000, with total breach costs often exceeding $1 million when downtime and recovery are included.</w:t>
      </w:r>
    </w:p>
    <w:p>
      <w:pPr>
        <w:spacing w:before="280" w:after="120"/>
      </w:pPr>
      <w:r>
        <w:rPr>
          <w:rFonts w:ascii="Calibri" w:hAnsi="Calibri"/>
          <w:b/>
          <w:i w:val="0"/>
          <w:color w:val="003366"/>
          <w:sz w:val="28"/>
        </w:rPr>
        <w:t>3.3 Insider Threats</w:t>
      </w:r>
    </w:p>
    <w:p>
      <w:pPr>
        <w:spacing w:after="120"/>
      </w:pPr>
      <w:r>
        <w:rPr>
          <w:rFonts w:ascii="Calibri" w:hAnsi="Calibri"/>
          <w:b w:val="0"/>
          <w:i w:val="0"/>
          <w:sz w:val="22"/>
        </w:rPr>
        <w:t>Insider threats originate from current or former employees, contractors, or partners with legitimate access to organizational systems. These threats may be malicious (data theft, sabotage) or accidental (misconfiguration, data loss).</w:t>
      </w:r>
    </w:p>
    <w:p>
      <w:pPr>
        <w:spacing w:after="120"/>
      </w:pPr>
      <w:r>
        <w:rPr>
          <w:rFonts w:ascii="Calibri" w:hAnsi="Calibri"/>
          <w:b w:val="0"/>
          <w:i w:val="0"/>
          <w:sz w:val="22"/>
        </w:rPr>
        <w:t>SMEs are particularly vulnerable because they often lack monitoring systems, access controls are loosely enforced, and departing employees may retain access credentials.</w:t>
      </w:r>
    </w:p>
    <w:p>
      <w:pPr>
        <w:spacing w:before="280" w:after="120"/>
      </w:pPr>
      <w:r>
        <w:rPr>
          <w:rFonts w:ascii="Calibri" w:hAnsi="Calibri"/>
          <w:b/>
          <w:i w:val="0"/>
          <w:color w:val="003366"/>
          <w:sz w:val="28"/>
        </w:rPr>
        <w:t>3.4 Supply Chain Attacks</w:t>
      </w:r>
    </w:p>
    <w:p>
      <w:pPr>
        <w:spacing w:after="120"/>
      </w:pPr>
      <w:r>
        <w:rPr>
          <w:rFonts w:ascii="Calibri" w:hAnsi="Calibri"/>
          <w:b w:val="0"/>
          <w:i w:val="0"/>
          <w:sz w:val="22"/>
        </w:rPr>
        <w:t>Attackers compromise trusted third-party vendors or software providers to gain access to multiple downstream targets. The SolarWinds and Kaseya attacks demonstrated how SMEs relying on managed service providers (MSPs) can be compromised at scale.</w:t>
      </w:r>
    </w:p>
    <w:p>
      <w:pPr>
        <w:spacing w:before="280" w:after="120"/>
      </w:pPr>
      <w:r>
        <w:rPr>
          <w:rFonts w:ascii="Calibri" w:hAnsi="Calibri"/>
          <w:b/>
          <w:i w:val="0"/>
          <w:color w:val="003366"/>
          <w:sz w:val="28"/>
        </w:rPr>
        <w:t>3.5 Unpatched Vulnerabilities</w:t>
      </w:r>
    </w:p>
    <w:p>
      <w:pPr>
        <w:spacing w:after="120"/>
      </w:pPr>
      <w:r>
        <w:rPr>
          <w:rFonts w:ascii="Calibri" w:hAnsi="Calibri"/>
          <w:b w:val="0"/>
          <w:i w:val="0"/>
          <w:sz w:val="22"/>
        </w:rPr>
        <w:t>Outdated software and operating systems with known, unpatched vulnerabilities are frequently exploited. SMEs often delay patching due to operational concerns, creating exploitable windows that attackers leverage with automated scanning tools.</w:t>
      </w:r>
    </w:p>
    <w:p>
      <w:pPr>
        <w:spacing w:before="280" w:after="120"/>
      </w:pPr>
      <w:r>
        <w:rPr>
          <w:rFonts w:ascii="Calibri" w:hAnsi="Calibri"/>
          <w:b/>
          <w:i w:val="0"/>
          <w:color w:val="003366"/>
          <w:sz w:val="28"/>
        </w:rPr>
        <w:t>3.6 Weak Authentication</w:t>
      </w:r>
    </w:p>
    <w:p>
      <w:pPr>
        <w:spacing w:after="120"/>
      </w:pPr>
      <w:r>
        <w:rPr>
          <w:rFonts w:ascii="Calibri" w:hAnsi="Calibri"/>
          <w:b w:val="0"/>
          <w:i w:val="0"/>
          <w:sz w:val="22"/>
        </w:rPr>
        <w:t>Password reuse, weak passwords, and absence of multi-factor authentication (MFA) are widespread in SMEs. Credential stuffing attacks — using breached credentials to access other accounts — succeed when MFA is not enforced.</w:t>
      </w:r>
    </w:p>
    <w:p>
      <w:pPr>
        <w:spacing w:before="280" w:after="120"/>
      </w:pPr>
      <w:r>
        <w:rPr>
          <w:rFonts w:ascii="Calibri" w:hAnsi="Calibri"/>
          <w:b/>
          <w:i w:val="0"/>
          <w:color w:val="003366"/>
          <w:sz w:val="36"/>
        </w:rPr>
        <w:t>4. Risk Assessment Model</w:t>
      </w:r>
    </w:p>
    <w:p>
      <w:pPr>
        <w:spacing w:after="120"/>
      </w:pPr>
      <w:r>
        <w:rPr>
          <w:rFonts w:ascii="Calibri" w:hAnsi="Calibri"/>
          <w:b w:val="0"/>
          <w:i w:val="0"/>
          <w:sz w:val="22"/>
        </w:rPr>
        <w:t>The proposed framework adapts the NIST Cybersecurity Framework (CSF) 2.0 into a practical five-function model suitable for SMEs, structured around: Govern, Identify, Protect, Detect, Respond, and Recover.</w:t>
      </w:r>
    </w:p>
    <w:p>
      <w:pPr>
        <w:spacing w:before="280" w:after="120"/>
      </w:pPr>
      <w:r>
        <w:rPr>
          <w:rFonts w:ascii="Calibri" w:hAnsi="Calibri"/>
          <w:b/>
          <w:i w:val="0"/>
          <w:color w:val="003366"/>
          <w:sz w:val="28"/>
        </w:rPr>
        <w:t>4.1 NIST CSF Adaptation for SMEs</w:t>
      </w:r>
    </w:p>
    <w:tbl>
      <w:tblPr>
        <w:tblStyle w:val="TableGrid"/>
        <w:tblW w:type="auto" w:w="0"/>
        <w:tblLayout w:type="fixed"/>
        <w:tblLook w:firstColumn="1" w:firstRow="1" w:lastColumn="0" w:lastRow="0" w:noHBand="0" w:noVBand="1" w:val="04A0"/>
      </w:tblPr>
      <w:tblGrid>
        <w:gridCol w:w="2928"/>
        <w:gridCol w:w="2928"/>
        <w:gridCol w:w="2928"/>
      </w:tblGrid>
      <w:tr>
        <w:tc>
          <w:tcPr>
            <w:tcW w:type="dxa" w:w="2160"/>
            <w:shd w:val="clear" w:color="auto" w:fill="003366"/>
          </w:tcPr>
          <w:p>
            <w:r/>
            <w:r>
              <w:rPr>
                <w:rFonts w:ascii="Calibri" w:hAnsi="Calibri"/>
                <w:b/>
                <w:i w:val="0"/>
                <w:color w:val="FFFFFF"/>
                <w:sz w:val="22"/>
              </w:rPr>
              <w:t>CSF Function</w:t>
            </w:r>
          </w:p>
        </w:tc>
        <w:tc>
          <w:tcPr>
            <w:tcW w:type="dxa" w:w="2880"/>
            <w:shd w:val="clear" w:color="auto" w:fill="003366"/>
          </w:tcPr>
          <w:p>
            <w:r/>
            <w:r>
              <w:rPr>
                <w:rFonts w:ascii="Calibri" w:hAnsi="Calibri"/>
                <w:b/>
                <w:i w:val="0"/>
                <w:color w:val="FFFFFF"/>
                <w:sz w:val="22"/>
              </w:rPr>
              <w:t>Key Activities</w:t>
            </w:r>
          </w:p>
        </w:tc>
        <w:tc>
          <w:tcPr>
            <w:tcW w:type="dxa" w:w="3600"/>
            <w:shd w:val="clear" w:color="auto" w:fill="003366"/>
          </w:tcPr>
          <w:p>
            <w:r/>
            <w:r>
              <w:rPr>
                <w:rFonts w:ascii="Calibri" w:hAnsi="Calibri"/>
                <w:b/>
                <w:i w:val="0"/>
                <w:color w:val="FFFFFF"/>
                <w:sz w:val="22"/>
              </w:rPr>
              <w:t>SME Implementation</w:t>
            </w:r>
          </w:p>
        </w:tc>
      </w:tr>
      <w:tr>
        <w:tc>
          <w:tcPr>
            <w:tcW w:type="dxa" w:w="2160"/>
          </w:tcPr>
          <w:p>
            <w:r>
              <w:rPr>
                <w:rFonts w:ascii="Calibri" w:hAnsi="Calibri"/>
                <w:b w:val="0"/>
                <w:i w:val="0"/>
                <w:sz w:val="20"/>
              </w:rPr>
              <w:t>Govern</w:t>
            </w:r>
          </w:p>
        </w:tc>
        <w:tc>
          <w:tcPr>
            <w:tcW w:type="dxa" w:w="2880"/>
          </w:tcPr>
          <w:p>
            <w:r>
              <w:rPr>
                <w:rFonts w:ascii="Calibri" w:hAnsi="Calibri"/>
                <w:b w:val="0"/>
                <w:i w:val="0"/>
                <w:sz w:val="20"/>
              </w:rPr>
              <w:t>Establish policies, assign roles, set risk tolerance</w:t>
            </w:r>
          </w:p>
        </w:tc>
        <w:tc>
          <w:tcPr>
            <w:tcW w:type="dxa" w:w="3600"/>
          </w:tcPr>
          <w:p>
            <w:r>
              <w:rPr>
                <w:rFonts w:ascii="Calibri" w:hAnsi="Calibri"/>
                <w:b w:val="0"/>
                <w:i w:val="0"/>
                <w:sz w:val="20"/>
              </w:rPr>
              <w:t>Owner-level policy document; assign IT lead</w:t>
            </w:r>
          </w:p>
        </w:tc>
      </w:tr>
      <w:tr>
        <w:tc>
          <w:tcPr>
            <w:tcW w:type="dxa" w:w="2160"/>
          </w:tcPr>
          <w:p>
            <w:r>
              <w:rPr>
                <w:rFonts w:ascii="Calibri" w:hAnsi="Calibri"/>
                <w:b w:val="0"/>
                <w:i w:val="0"/>
                <w:sz w:val="20"/>
              </w:rPr>
              <w:t>Identify</w:t>
            </w:r>
          </w:p>
        </w:tc>
        <w:tc>
          <w:tcPr>
            <w:tcW w:type="dxa" w:w="2880"/>
          </w:tcPr>
          <w:p>
            <w:r>
              <w:rPr>
                <w:rFonts w:ascii="Calibri" w:hAnsi="Calibri"/>
                <w:b w:val="0"/>
                <w:i w:val="0"/>
                <w:sz w:val="20"/>
              </w:rPr>
              <w:t>Asset inventory, threat mapping, gap analysis</w:t>
            </w:r>
          </w:p>
        </w:tc>
        <w:tc>
          <w:tcPr>
            <w:tcW w:type="dxa" w:w="3600"/>
          </w:tcPr>
          <w:p>
            <w:r>
              <w:rPr>
                <w:rFonts w:ascii="Calibri" w:hAnsi="Calibri"/>
                <w:b w:val="0"/>
                <w:i w:val="0"/>
                <w:sz w:val="20"/>
              </w:rPr>
              <w:t>Spreadsheet-based asset register; annual risk review</w:t>
            </w:r>
          </w:p>
        </w:tc>
      </w:tr>
      <w:tr>
        <w:tc>
          <w:tcPr>
            <w:tcW w:type="dxa" w:w="2160"/>
          </w:tcPr>
          <w:p>
            <w:r>
              <w:rPr>
                <w:rFonts w:ascii="Calibri" w:hAnsi="Calibri"/>
                <w:b w:val="0"/>
                <w:i w:val="0"/>
                <w:sz w:val="20"/>
              </w:rPr>
              <w:t>Protect</w:t>
            </w:r>
          </w:p>
        </w:tc>
        <w:tc>
          <w:tcPr>
            <w:tcW w:type="dxa" w:w="2880"/>
          </w:tcPr>
          <w:p>
            <w:r>
              <w:rPr>
                <w:rFonts w:ascii="Calibri" w:hAnsi="Calibri"/>
                <w:b w:val="0"/>
                <w:i w:val="0"/>
                <w:sz w:val="20"/>
              </w:rPr>
              <w:t>Access controls, training, data protection</w:t>
            </w:r>
          </w:p>
        </w:tc>
        <w:tc>
          <w:tcPr>
            <w:tcW w:type="dxa" w:w="3600"/>
          </w:tcPr>
          <w:p>
            <w:r>
              <w:rPr>
                <w:rFonts w:ascii="Calibri" w:hAnsi="Calibri"/>
                <w:b w:val="0"/>
                <w:i w:val="0"/>
                <w:sz w:val="20"/>
              </w:rPr>
              <w:t>MFA, security awareness training, encryption</w:t>
            </w:r>
          </w:p>
        </w:tc>
      </w:tr>
      <w:tr>
        <w:tc>
          <w:tcPr>
            <w:tcW w:type="dxa" w:w="2160"/>
          </w:tcPr>
          <w:p>
            <w:r>
              <w:rPr>
                <w:rFonts w:ascii="Calibri" w:hAnsi="Calibri"/>
                <w:b w:val="0"/>
                <w:i w:val="0"/>
                <w:sz w:val="20"/>
              </w:rPr>
              <w:t>Detect</w:t>
            </w:r>
          </w:p>
        </w:tc>
        <w:tc>
          <w:tcPr>
            <w:tcW w:type="dxa" w:w="2880"/>
          </w:tcPr>
          <w:p>
            <w:r>
              <w:rPr>
                <w:rFonts w:ascii="Calibri" w:hAnsi="Calibri"/>
                <w:b w:val="0"/>
                <w:i w:val="0"/>
                <w:sz w:val="20"/>
              </w:rPr>
              <w:t>Monitoring, anomaly detection, logging</w:t>
            </w:r>
          </w:p>
        </w:tc>
        <w:tc>
          <w:tcPr>
            <w:tcW w:type="dxa" w:w="3600"/>
          </w:tcPr>
          <w:p>
            <w:r>
              <w:rPr>
                <w:rFonts w:ascii="Calibri" w:hAnsi="Calibri"/>
                <w:b w:val="0"/>
                <w:i w:val="0"/>
                <w:sz w:val="20"/>
              </w:rPr>
              <w:t>SIEM lite tools, log review, IDS on critical systems</w:t>
            </w:r>
          </w:p>
        </w:tc>
      </w:tr>
      <w:tr>
        <w:tc>
          <w:tcPr>
            <w:tcW w:type="dxa" w:w="2160"/>
          </w:tcPr>
          <w:p>
            <w:r>
              <w:rPr>
                <w:rFonts w:ascii="Calibri" w:hAnsi="Calibri"/>
                <w:b w:val="0"/>
                <w:i w:val="0"/>
                <w:sz w:val="20"/>
              </w:rPr>
              <w:t>Respond</w:t>
            </w:r>
          </w:p>
        </w:tc>
        <w:tc>
          <w:tcPr>
            <w:tcW w:type="dxa" w:w="2880"/>
          </w:tcPr>
          <w:p>
            <w:r>
              <w:rPr>
                <w:rFonts w:ascii="Calibri" w:hAnsi="Calibri"/>
                <w:b w:val="0"/>
                <w:i w:val="0"/>
                <w:sz w:val="20"/>
              </w:rPr>
              <w:t>Incident response plan, communication plan</w:t>
            </w:r>
          </w:p>
        </w:tc>
        <w:tc>
          <w:tcPr>
            <w:tcW w:type="dxa" w:w="3600"/>
          </w:tcPr>
          <w:p>
            <w:r>
              <w:rPr>
                <w:rFonts w:ascii="Calibri" w:hAnsi="Calibri"/>
                <w:b w:val="0"/>
                <w:i w:val="0"/>
                <w:sz w:val="20"/>
              </w:rPr>
              <w:t>Written IR playbook; vendor support contract</w:t>
            </w:r>
          </w:p>
        </w:tc>
      </w:tr>
      <w:tr>
        <w:tc>
          <w:tcPr>
            <w:tcW w:type="dxa" w:w="2160"/>
          </w:tcPr>
          <w:p>
            <w:r>
              <w:rPr>
                <w:rFonts w:ascii="Calibri" w:hAnsi="Calibri"/>
                <w:b w:val="0"/>
                <w:i w:val="0"/>
                <w:sz w:val="20"/>
              </w:rPr>
              <w:t>Recover</w:t>
            </w:r>
          </w:p>
        </w:tc>
        <w:tc>
          <w:tcPr>
            <w:tcW w:type="dxa" w:w="2880"/>
          </w:tcPr>
          <w:p>
            <w:r>
              <w:rPr>
                <w:rFonts w:ascii="Calibri" w:hAnsi="Calibri"/>
                <w:b w:val="0"/>
                <w:i w:val="0"/>
                <w:sz w:val="20"/>
              </w:rPr>
              <w:t>Backup, restoration, lessons learned</w:t>
            </w:r>
          </w:p>
        </w:tc>
        <w:tc>
          <w:tcPr>
            <w:tcW w:type="dxa" w:w="3600"/>
          </w:tcPr>
          <w:p>
            <w:r>
              <w:rPr>
                <w:rFonts w:ascii="Calibri" w:hAnsi="Calibri"/>
                <w:b w:val="0"/>
                <w:i w:val="0"/>
                <w:sz w:val="20"/>
              </w:rPr>
              <w:t>3-2-1 backup strategy; post-incident review</w:t>
            </w:r>
          </w:p>
        </w:tc>
      </w:tr>
    </w:tbl>
    <w:p/>
    <w:p>
      <w:pPr>
        <w:spacing w:before="280" w:after="120"/>
      </w:pPr>
      <w:r>
        <w:rPr>
          <w:rFonts w:ascii="Calibri" w:hAnsi="Calibri"/>
          <w:b/>
          <w:i w:val="0"/>
          <w:color w:val="003366"/>
          <w:sz w:val="28"/>
        </w:rPr>
        <w:t>4.2 Risk Assessment Process</w:t>
      </w:r>
    </w:p>
    <w:p>
      <w:pPr>
        <w:spacing w:after="120"/>
      </w:pPr>
      <w:r>
        <w:rPr>
          <w:rFonts w:ascii="Calibri" w:hAnsi="Calibri"/>
          <w:b w:val="0"/>
          <w:i w:val="0"/>
          <w:sz w:val="22"/>
        </w:rPr>
        <w:t>The risk assessment follows a structured four-step process:</w:t>
      </w:r>
    </w:p>
    <w:p>
      <w:pPr>
        <w:spacing w:after="80"/>
        <w:ind w:left="432"/>
      </w:pPr>
      <w:r>
        <w:rPr>
          <w:rFonts w:ascii="Calibri" w:hAnsi="Calibri"/>
          <w:b/>
          <w:i w:val="0"/>
          <w:sz w:val="22"/>
        </w:rPr>
        <w:t xml:space="preserve">Step 1 – Asset Identification: </w:t>
      </w:r>
      <w:r>
        <w:rPr>
          <w:rFonts w:ascii="Calibri" w:hAnsi="Calibri"/>
          <w:b w:val="0"/>
          <w:i w:val="0"/>
          <w:sz w:val="22"/>
        </w:rPr>
        <w:t>Catalogue all hardware, software, data, and personnel with system access.</w:t>
      </w:r>
    </w:p>
    <w:p>
      <w:pPr>
        <w:spacing w:after="80"/>
        <w:ind w:left="432"/>
      </w:pPr>
      <w:r>
        <w:rPr>
          <w:rFonts w:ascii="Calibri" w:hAnsi="Calibri"/>
          <w:b/>
          <w:i w:val="0"/>
          <w:sz w:val="22"/>
        </w:rPr>
        <w:t xml:space="preserve">Step 2 – Threat Identification: </w:t>
      </w:r>
      <w:r>
        <w:rPr>
          <w:rFonts w:ascii="Calibri" w:hAnsi="Calibri"/>
          <w:b w:val="0"/>
          <w:i w:val="0"/>
          <w:sz w:val="22"/>
        </w:rPr>
        <w:t>Map applicable threats to each asset category using the threat taxonomy in Section 3.</w:t>
      </w:r>
    </w:p>
    <w:p>
      <w:pPr>
        <w:spacing w:after="80"/>
        <w:ind w:left="432"/>
      </w:pPr>
      <w:r>
        <w:rPr>
          <w:rFonts w:ascii="Calibri" w:hAnsi="Calibri"/>
          <w:b/>
          <w:i w:val="0"/>
          <w:sz w:val="22"/>
        </w:rPr>
        <w:t xml:space="preserve">Step 3 – Vulnerability Assessment: </w:t>
      </w:r>
      <w:r>
        <w:rPr>
          <w:rFonts w:ascii="Calibri" w:hAnsi="Calibri"/>
          <w:b w:val="0"/>
          <w:i w:val="0"/>
          <w:sz w:val="22"/>
        </w:rPr>
        <w:t>Identify weaknesses in controls, processes, and technology that threats could exploit.</w:t>
      </w:r>
    </w:p>
    <w:p>
      <w:pPr>
        <w:spacing w:after="80"/>
        <w:ind w:left="432"/>
      </w:pPr>
      <w:r>
        <w:rPr>
          <w:rFonts w:ascii="Calibri" w:hAnsi="Calibri"/>
          <w:b/>
          <w:i w:val="0"/>
          <w:sz w:val="22"/>
        </w:rPr>
        <w:t xml:space="preserve">Step 4 – Risk Analysis: </w:t>
      </w:r>
      <w:r>
        <w:rPr>
          <w:rFonts w:ascii="Calibri" w:hAnsi="Calibri"/>
          <w:b w:val="0"/>
          <w:i w:val="0"/>
          <w:sz w:val="22"/>
        </w:rPr>
        <w:t>Apply the Risk Evaluation Metric (Section 5) to quantify and prioritize risks.</w:t>
      </w:r>
    </w:p>
    <w:p>
      <w:pPr>
        <w:spacing w:before="280" w:after="120"/>
      </w:pPr>
      <w:r>
        <w:rPr>
          <w:rFonts w:ascii="Calibri" w:hAnsi="Calibri"/>
          <w:b/>
          <w:i w:val="0"/>
          <w:color w:val="003366"/>
          <w:sz w:val="36"/>
        </w:rPr>
        <w:t>5. Risk Evaluation Metric</w:t>
      </w:r>
    </w:p>
    <w:p>
      <w:pPr>
        <w:spacing w:after="120"/>
      </w:pPr>
      <w:r>
        <w:rPr>
          <w:rFonts w:ascii="Calibri" w:hAnsi="Calibri"/>
          <w:b w:val="0"/>
          <w:i w:val="0"/>
          <w:sz w:val="22"/>
        </w:rPr>
        <w:t>The Risk Score is calculated using the following formula:</w:t>
      </w:r>
    </w:p>
    <w:p>
      <w:pPr>
        <w:spacing w:before="160" w:after="160"/>
        <w:jc w:val="center"/>
      </w:pPr>
      <w:r>
        <w:rPr>
          <w:rFonts w:ascii="Calibri" w:hAnsi="Calibri"/>
          <w:b/>
          <w:i/>
          <w:color w:val="003366"/>
          <w:sz w:val="24"/>
        </w:rPr>
        <w:t>Risk Score = Likelihood (1–5) × Impact (1–5) × Exposure Factor (0.1–1.0)</w:t>
      </w:r>
    </w:p>
    <w:p>
      <w:pPr>
        <w:spacing w:after="120"/>
      </w:pPr>
      <w:r>
        <w:rPr>
          <w:rFonts w:ascii="Calibri" w:hAnsi="Calibri"/>
          <w:b w:val="0"/>
          <w:i w:val="0"/>
          <w:sz w:val="22"/>
        </w:rPr>
        <w:t>Risk scores range from 0.1 to 25.0 and are categorized as follows:</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1728"/>
            <w:shd w:val="clear" w:color="auto" w:fill="003366"/>
          </w:tcPr>
          <w:p>
            <w:r/>
            <w:r>
              <w:rPr>
                <w:rFonts w:ascii="Calibri" w:hAnsi="Calibri"/>
                <w:b/>
                <w:i w:val="0"/>
                <w:color w:val="FFFFFF"/>
                <w:sz w:val="22"/>
              </w:rPr>
              <w:t>Risk Score</w:t>
            </w:r>
          </w:p>
        </w:tc>
        <w:tc>
          <w:tcPr>
            <w:tcW w:type="dxa" w:w="2160"/>
            <w:shd w:val="clear" w:color="auto" w:fill="003366"/>
          </w:tcPr>
          <w:p>
            <w:r/>
            <w:r>
              <w:rPr>
                <w:rFonts w:ascii="Calibri" w:hAnsi="Calibri"/>
                <w:b/>
                <w:i w:val="0"/>
                <w:color w:val="FFFFFF"/>
                <w:sz w:val="22"/>
              </w:rPr>
              <w:t>Risk Level</w:t>
            </w:r>
          </w:p>
        </w:tc>
        <w:tc>
          <w:tcPr>
            <w:tcW w:type="dxa" w:w="2160"/>
            <w:shd w:val="clear" w:color="auto" w:fill="003366"/>
          </w:tcPr>
          <w:p>
            <w:r/>
            <w:r>
              <w:rPr>
                <w:rFonts w:ascii="Calibri" w:hAnsi="Calibri"/>
                <w:b/>
                <w:i w:val="0"/>
                <w:color w:val="FFFFFF"/>
                <w:sz w:val="22"/>
              </w:rPr>
              <w:t>Priority</w:t>
            </w:r>
          </w:p>
        </w:tc>
        <w:tc>
          <w:tcPr>
            <w:tcW w:type="dxa" w:w="3168"/>
            <w:shd w:val="clear" w:color="auto" w:fill="003366"/>
          </w:tcPr>
          <w:p>
            <w:r/>
            <w:r>
              <w:rPr>
                <w:rFonts w:ascii="Calibri" w:hAnsi="Calibri"/>
                <w:b/>
                <w:i w:val="0"/>
                <w:color w:val="FFFFFF"/>
                <w:sz w:val="22"/>
              </w:rPr>
              <w:t>Recommended Action</w:t>
            </w:r>
          </w:p>
        </w:tc>
      </w:tr>
      <w:tr>
        <w:tc>
          <w:tcPr>
            <w:tcW w:type="dxa" w:w="1728"/>
          </w:tcPr>
          <w:p>
            <w:r>
              <w:rPr>
                <w:rFonts w:ascii="Calibri" w:hAnsi="Calibri"/>
                <w:b w:val="0"/>
                <w:i w:val="0"/>
                <w:color w:val="000000"/>
                <w:sz w:val="20"/>
              </w:rPr>
              <w:t>20.0 – 25.0</w:t>
            </w:r>
          </w:p>
        </w:tc>
        <w:tc>
          <w:tcPr>
            <w:tcW w:type="dxa" w:w="2160"/>
          </w:tcPr>
          <w:p>
            <w:r>
              <w:rPr>
                <w:rFonts w:ascii="Calibri" w:hAnsi="Calibri"/>
                <w:b/>
                <w:i w:val="0"/>
                <w:color w:val="B40000"/>
                <w:sz w:val="20"/>
              </w:rPr>
              <w:t>Critical</w:t>
            </w:r>
          </w:p>
        </w:tc>
        <w:tc>
          <w:tcPr>
            <w:tcW w:type="dxa" w:w="2160"/>
          </w:tcPr>
          <w:p>
            <w:r>
              <w:rPr>
                <w:rFonts w:ascii="Calibri" w:hAnsi="Calibri"/>
                <w:b w:val="0"/>
                <w:i w:val="0"/>
                <w:color w:val="000000"/>
                <w:sz w:val="20"/>
              </w:rPr>
              <w:t>Immediate</w:t>
            </w:r>
          </w:p>
        </w:tc>
        <w:tc>
          <w:tcPr>
            <w:tcW w:type="dxa" w:w="3168"/>
          </w:tcPr>
          <w:p>
            <w:r>
              <w:rPr>
                <w:rFonts w:ascii="Calibri" w:hAnsi="Calibri"/>
                <w:b w:val="0"/>
                <w:i w:val="0"/>
                <w:color w:val="000000"/>
                <w:sz w:val="20"/>
              </w:rPr>
              <w:t>Address within 24–48 hours; escalate to management</w:t>
            </w:r>
          </w:p>
        </w:tc>
      </w:tr>
      <w:tr>
        <w:tc>
          <w:tcPr>
            <w:tcW w:type="dxa" w:w="1728"/>
          </w:tcPr>
          <w:p>
            <w:r>
              <w:rPr>
                <w:rFonts w:ascii="Calibri" w:hAnsi="Calibri"/>
                <w:b w:val="0"/>
                <w:i w:val="0"/>
                <w:color w:val="000000"/>
                <w:sz w:val="20"/>
              </w:rPr>
              <w:t>15.0 – 19.9</w:t>
            </w:r>
          </w:p>
        </w:tc>
        <w:tc>
          <w:tcPr>
            <w:tcW w:type="dxa" w:w="2160"/>
          </w:tcPr>
          <w:p>
            <w:r>
              <w:rPr>
                <w:rFonts w:ascii="Calibri" w:hAnsi="Calibri"/>
                <w:b/>
                <w:i w:val="0"/>
                <w:color w:val="C85000"/>
                <w:sz w:val="20"/>
              </w:rPr>
              <w:t>High</w:t>
            </w:r>
          </w:p>
        </w:tc>
        <w:tc>
          <w:tcPr>
            <w:tcW w:type="dxa" w:w="2160"/>
          </w:tcPr>
          <w:p>
            <w:r>
              <w:rPr>
                <w:rFonts w:ascii="Calibri" w:hAnsi="Calibri"/>
                <w:b w:val="0"/>
                <w:i w:val="0"/>
                <w:color w:val="000000"/>
                <w:sz w:val="20"/>
              </w:rPr>
              <w:t>Urgent</w:t>
            </w:r>
          </w:p>
        </w:tc>
        <w:tc>
          <w:tcPr>
            <w:tcW w:type="dxa" w:w="3168"/>
          </w:tcPr>
          <w:p>
            <w:r>
              <w:rPr>
                <w:rFonts w:ascii="Calibri" w:hAnsi="Calibri"/>
                <w:b w:val="0"/>
                <w:i w:val="0"/>
                <w:color w:val="000000"/>
                <w:sz w:val="20"/>
              </w:rPr>
              <w:t>Remediate within 1–2 weeks with defined timeline</w:t>
            </w:r>
          </w:p>
        </w:tc>
      </w:tr>
      <w:tr>
        <w:tc>
          <w:tcPr>
            <w:tcW w:type="dxa" w:w="1728"/>
          </w:tcPr>
          <w:p>
            <w:r>
              <w:rPr>
                <w:rFonts w:ascii="Calibri" w:hAnsi="Calibri"/>
                <w:b w:val="0"/>
                <w:i w:val="0"/>
                <w:color w:val="000000"/>
                <w:sz w:val="20"/>
              </w:rPr>
              <w:t>8.0 – 14.9</w:t>
            </w:r>
          </w:p>
        </w:tc>
        <w:tc>
          <w:tcPr>
            <w:tcW w:type="dxa" w:w="2160"/>
          </w:tcPr>
          <w:p>
            <w:r>
              <w:rPr>
                <w:rFonts w:ascii="Calibri" w:hAnsi="Calibri"/>
                <w:b/>
                <w:i w:val="0"/>
                <w:color w:val="967800"/>
                <w:sz w:val="20"/>
              </w:rPr>
              <w:t>Medium</w:t>
            </w:r>
          </w:p>
        </w:tc>
        <w:tc>
          <w:tcPr>
            <w:tcW w:type="dxa" w:w="2160"/>
          </w:tcPr>
          <w:p>
            <w:r>
              <w:rPr>
                <w:rFonts w:ascii="Calibri" w:hAnsi="Calibri"/>
                <w:b w:val="0"/>
                <w:i w:val="0"/>
                <w:color w:val="000000"/>
                <w:sz w:val="20"/>
              </w:rPr>
              <w:t>Moderate</w:t>
            </w:r>
          </w:p>
        </w:tc>
        <w:tc>
          <w:tcPr>
            <w:tcW w:type="dxa" w:w="3168"/>
          </w:tcPr>
          <w:p>
            <w:r>
              <w:rPr>
                <w:rFonts w:ascii="Calibri" w:hAnsi="Calibri"/>
                <w:b w:val="0"/>
                <w:i w:val="0"/>
                <w:color w:val="000000"/>
                <w:sz w:val="20"/>
              </w:rPr>
              <w:t>Schedule remediation within 30–60 days</w:t>
            </w:r>
          </w:p>
        </w:tc>
      </w:tr>
      <w:tr>
        <w:tc>
          <w:tcPr>
            <w:tcW w:type="dxa" w:w="1728"/>
          </w:tcPr>
          <w:p>
            <w:r>
              <w:rPr>
                <w:rFonts w:ascii="Calibri" w:hAnsi="Calibri"/>
                <w:b w:val="0"/>
                <w:i w:val="0"/>
                <w:color w:val="000000"/>
                <w:sz w:val="20"/>
              </w:rPr>
              <w:t>0.1 – 7.9</w:t>
            </w:r>
          </w:p>
        </w:tc>
        <w:tc>
          <w:tcPr>
            <w:tcW w:type="dxa" w:w="2160"/>
          </w:tcPr>
          <w:p>
            <w:r>
              <w:rPr>
                <w:rFonts w:ascii="Calibri" w:hAnsi="Calibri"/>
                <w:b/>
                <w:i w:val="0"/>
                <w:color w:val="007800"/>
                <w:sz w:val="20"/>
              </w:rPr>
              <w:t>Low</w:t>
            </w:r>
          </w:p>
        </w:tc>
        <w:tc>
          <w:tcPr>
            <w:tcW w:type="dxa" w:w="2160"/>
          </w:tcPr>
          <w:p>
            <w:r>
              <w:rPr>
                <w:rFonts w:ascii="Calibri" w:hAnsi="Calibri"/>
                <w:b w:val="0"/>
                <w:i w:val="0"/>
                <w:color w:val="000000"/>
                <w:sz w:val="20"/>
              </w:rPr>
              <w:t>Routine</w:t>
            </w:r>
          </w:p>
        </w:tc>
        <w:tc>
          <w:tcPr>
            <w:tcW w:type="dxa" w:w="3168"/>
          </w:tcPr>
          <w:p>
            <w:r>
              <w:rPr>
                <w:rFonts w:ascii="Calibri" w:hAnsi="Calibri"/>
                <w:b w:val="0"/>
                <w:i w:val="0"/>
                <w:color w:val="000000"/>
                <w:sz w:val="20"/>
              </w:rPr>
              <w:t>Include in next scheduled maintenance cycle</w:t>
            </w:r>
          </w:p>
        </w:tc>
      </w:tr>
    </w:tbl>
    <w:p/>
    <w:p>
      <w:pPr>
        <w:spacing w:before="280" w:after="120"/>
      </w:pPr>
      <w:r>
        <w:rPr>
          <w:rFonts w:ascii="Calibri" w:hAnsi="Calibri"/>
          <w:b/>
          <w:i w:val="0"/>
          <w:color w:val="003366"/>
          <w:sz w:val="28"/>
        </w:rPr>
        <w:t>5.1 Threat Ranking Matrix</w:t>
      </w:r>
    </w:p>
    <w:p>
      <w:pPr>
        <w:spacing w:after="120"/>
      </w:pPr>
      <w:r>
        <w:rPr>
          <w:rFonts w:ascii="Calibri" w:hAnsi="Calibri"/>
          <w:b w:val="0"/>
          <w:i w:val="0"/>
          <w:sz w:val="22"/>
        </w:rPr>
        <w:t>Based on the evaluation metric, the following threat ranking was derived from SME-specific research data:</w:t>
      </w:r>
    </w:p>
    <w:tbl>
      <w:tblPr>
        <w:tblStyle w:val="TableGrid"/>
        <w:tblW w:type="auto" w:w="0"/>
        <w:tblLayout w:type="fixed"/>
        <w:tblLook w:firstColumn="1" w:firstRow="1" w:lastColumn="0" w:lastRow="0" w:noHBand="0" w:noVBand="1" w:val="04A0"/>
      </w:tblPr>
      <w:tblGrid>
        <w:gridCol w:w="1757"/>
        <w:gridCol w:w="1757"/>
        <w:gridCol w:w="1757"/>
        <w:gridCol w:w="1757"/>
        <w:gridCol w:w="1757"/>
      </w:tblGrid>
      <w:tr>
        <w:tc>
          <w:tcPr>
            <w:tcW w:type="dxa" w:w="2592"/>
            <w:shd w:val="clear" w:color="auto" w:fill="003366"/>
          </w:tcPr>
          <w:p>
            <w:r/>
            <w:r>
              <w:rPr>
                <w:rFonts w:ascii="Calibri" w:hAnsi="Calibri"/>
                <w:b/>
                <w:i w:val="0"/>
                <w:color w:val="FFFFFF"/>
                <w:sz w:val="22"/>
              </w:rPr>
              <w:t>Threat</w:t>
            </w:r>
          </w:p>
        </w:tc>
        <w:tc>
          <w:tcPr>
            <w:tcW w:type="dxa" w:w="1440"/>
            <w:shd w:val="clear" w:color="auto" w:fill="003366"/>
          </w:tcPr>
          <w:p>
            <w:r/>
            <w:r>
              <w:rPr>
                <w:rFonts w:ascii="Calibri" w:hAnsi="Calibri"/>
                <w:b/>
                <w:i w:val="0"/>
                <w:color w:val="FFFFFF"/>
                <w:sz w:val="22"/>
              </w:rPr>
              <w:t>Likelihood</w:t>
            </w:r>
          </w:p>
        </w:tc>
        <w:tc>
          <w:tcPr>
            <w:tcW w:type="dxa" w:w="1296"/>
            <w:shd w:val="clear" w:color="auto" w:fill="003366"/>
          </w:tcPr>
          <w:p>
            <w:r/>
            <w:r>
              <w:rPr>
                <w:rFonts w:ascii="Calibri" w:hAnsi="Calibri"/>
                <w:b/>
                <w:i w:val="0"/>
                <w:color w:val="FFFFFF"/>
                <w:sz w:val="22"/>
              </w:rPr>
              <w:t>Impact</w:t>
            </w:r>
          </w:p>
        </w:tc>
        <w:tc>
          <w:tcPr>
            <w:tcW w:type="dxa" w:w="1440"/>
            <w:shd w:val="clear" w:color="auto" w:fill="003366"/>
          </w:tcPr>
          <w:p>
            <w:r/>
            <w:r>
              <w:rPr>
                <w:rFonts w:ascii="Calibri" w:hAnsi="Calibri"/>
                <w:b/>
                <w:i w:val="0"/>
                <w:color w:val="FFFFFF"/>
                <w:sz w:val="22"/>
              </w:rPr>
              <w:t>Exposure</w:t>
            </w:r>
          </w:p>
        </w:tc>
        <w:tc>
          <w:tcPr>
            <w:tcW w:type="dxa" w:w="1584"/>
            <w:shd w:val="clear" w:color="auto" w:fill="003366"/>
          </w:tcPr>
          <w:p>
            <w:r/>
            <w:r>
              <w:rPr>
                <w:rFonts w:ascii="Calibri" w:hAnsi="Calibri"/>
                <w:b/>
                <w:i w:val="0"/>
                <w:color w:val="FFFFFF"/>
                <w:sz w:val="22"/>
              </w:rPr>
              <w:t>Risk Score</w:t>
            </w:r>
          </w:p>
        </w:tc>
      </w:tr>
      <w:tr>
        <w:tc>
          <w:tcPr>
            <w:tcW w:type="dxa" w:w="2592"/>
          </w:tcPr>
          <w:p>
            <w:r>
              <w:rPr>
                <w:rFonts w:ascii="Calibri" w:hAnsi="Calibri"/>
                <w:b w:val="0"/>
                <w:i w:val="0"/>
                <w:sz w:val="20"/>
              </w:rPr>
              <w:t>Phishing / BEC</w:t>
            </w:r>
          </w:p>
        </w:tc>
        <w:tc>
          <w:tcPr>
            <w:tcW w:type="dxa" w:w="1440"/>
          </w:tcPr>
          <w:p>
            <w:r>
              <w:rPr>
                <w:rFonts w:ascii="Calibri" w:hAnsi="Calibri"/>
                <w:b w:val="0"/>
                <w:i w:val="0"/>
                <w:sz w:val="20"/>
              </w:rPr>
              <w:t>5</w:t>
            </w:r>
          </w:p>
        </w:tc>
        <w:tc>
          <w:tcPr>
            <w:tcW w:type="dxa" w:w="1296"/>
          </w:tcPr>
          <w:p>
            <w:r>
              <w:rPr>
                <w:rFonts w:ascii="Calibri" w:hAnsi="Calibri"/>
                <w:b w:val="0"/>
                <w:i w:val="0"/>
                <w:sz w:val="20"/>
              </w:rPr>
              <w:t>5</w:t>
            </w:r>
          </w:p>
        </w:tc>
        <w:tc>
          <w:tcPr>
            <w:tcW w:type="dxa" w:w="1440"/>
          </w:tcPr>
          <w:p>
            <w:r>
              <w:rPr>
                <w:rFonts w:ascii="Calibri" w:hAnsi="Calibri"/>
                <w:b w:val="0"/>
                <w:i w:val="0"/>
                <w:sz w:val="20"/>
              </w:rPr>
              <w:t>0.9</w:t>
            </w:r>
          </w:p>
        </w:tc>
        <w:tc>
          <w:tcPr>
            <w:tcW w:type="dxa" w:w="1584"/>
          </w:tcPr>
          <w:p>
            <w:r>
              <w:rPr>
                <w:rFonts w:ascii="Calibri" w:hAnsi="Calibri"/>
                <w:b w:val="0"/>
                <w:i w:val="0"/>
                <w:sz w:val="20"/>
              </w:rPr>
              <w:t>22.5 – Critical</w:t>
            </w:r>
          </w:p>
        </w:tc>
      </w:tr>
      <w:tr>
        <w:tc>
          <w:tcPr>
            <w:tcW w:type="dxa" w:w="2592"/>
          </w:tcPr>
          <w:p>
            <w:r>
              <w:rPr>
                <w:rFonts w:ascii="Calibri" w:hAnsi="Calibri"/>
                <w:b w:val="0"/>
                <w:i w:val="0"/>
                <w:sz w:val="20"/>
              </w:rPr>
              <w:t>Ransomware</w:t>
            </w:r>
          </w:p>
        </w:tc>
        <w:tc>
          <w:tcPr>
            <w:tcW w:type="dxa" w:w="1440"/>
          </w:tcPr>
          <w:p>
            <w:r>
              <w:rPr>
                <w:rFonts w:ascii="Calibri" w:hAnsi="Calibri"/>
                <w:b w:val="0"/>
                <w:i w:val="0"/>
                <w:sz w:val="20"/>
              </w:rPr>
              <w:t>4</w:t>
            </w:r>
          </w:p>
        </w:tc>
        <w:tc>
          <w:tcPr>
            <w:tcW w:type="dxa" w:w="1296"/>
          </w:tcPr>
          <w:p>
            <w:r>
              <w:rPr>
                <w:rFonts w:ascii="Calibri" w:hAnsi="Calibri"/>
                <w:b w:val="0"/>
                <w:i w:val="0"/>
                <w:sz w:val="20"/>
              </w:rPr>
              <w:t>5</w:t>
            </w:r>
          </w:p>
        </w:tc>
        <w:tc>
          <w:tcPr>
            <w:tcW w:type="dxa" w:w="1440"/>
          </w:tcPr>
          <w:p>
            <w:r>
              <w:rPr>
                <w:rFonts w:ascii="Calibri" w:hAnsi="Calibri"/>
                <w:b w:val="0"/>
                <w:i w:val="0"/>
                <w:sz w:val="20"/>
              </w:rPr>
              <w:t>0.9</w:t>
            </w:r>
          </w:p>
        </w:tc>
        <w:tc>
          <w:tcPr>
            <w:tcW w:type="dxa" w:w="1584"/>
          </w:tcPr>
          <w:p>
            <w:r>
              <w:rPr>
                <w:rFonts w:ascii="Calibri" w:hAnsi="Calibri"/>
                <w:b w:val="0"/>
                <w:i w:val="0"/>
                <w:sz w:val="20"/>
              </w:rPr>
              <w:t>18.0 – High</w:t>
            </w:r>
          </w:p>
        </w:tc>
      </w:tr>
      <w:tr>
        <w:tc>
          <w:tcPr>
            <w:tcW w:type="dxa" w:w="2592"/>
          </w:tcPr>
          <w:p>
            <w:r>
              <w:rPr>
                <w:rFonts w:ascii="Calibri" w:hAnsi="Calibri"/>
                <w:b w:val="0"/>
                <w:i w:val="0"/>
                <w:sz w:val="20"/>
              </w:rPr>
              <w:t>Unpatched Software</w:t>
            </w:r>
          </w:p>
        </w:tc>
        <w:tc>
          <w:tcPr>
            <w:tcW w:type="dxa" w:w="1440"/>
          </w:tcPr>
          <w:p>
            <w:r>
              <w:rPr>
                <w:rFonts w:ascii="Calibri" w:hAnsi="Calibri"/>
                <w:b w:val="0"/>
                <w:i w:val="0"/>
                <w:sz w:val="20"/>
              </w:rPr>
              <w:t>4</w:t>
            </w:r>
          </w:p>
        </w:tc>
        <w:tc>
          <w:tcPr>
            <w:tcW w:type="dxa" w:w="1296"/>
          </w:tcPr>
          <w:p>
            <w:r>
              <w:rPr>
                <w:rFonts w:ascii="Calibri" w:hAnsi="Calibri"/>
                <w:b w:val="0"/>
                <w:i w:val="0"/>
                <w:sz w:val="20"/>
              </w:rPr>
              <w:t>4</w:t>
            </w:r>
          </w:p>
        </w:tc>
        <w:tc>
          <w:tcPr>
            <w:tcW w:type="dxa" w:w="1440"/>
          </w:tcPr>
          <w:p>
            <w:r>
              <w:rPr>
                <w:rFonts w:ascii="Calibri" w:hAnsi="Calibri"/>
                <w:b w:val="0"/>
                <w:i w:val="0"/>
                <w:sz w:val="20"/>
              </w:rPr>
              <w:t>0.8</w:t>
            </w:r>
          </w:p>
        </w:tc>
        <w:tc>
          <w:tcPr>
            <w:tcW w:type="dxa" w:w="1584"/>
          </w:tcPr>
          <w:p>
            <w:r>
              <w:rPr>
                <w:rFonts w:ascii="Calibri" w:hAnsi="Calibri"/>
                <w:b w:val="0"/>
                <w:i w:val="0"/>
                <w:sz w:val="20"/>
              </w:rPr>
              <w:t>12.8 – Medium</w:t>
            </w:r>
          </w:p>
        </w:tc>
      </w:tr>
      <w:tr>
        <w:tc>
          <w:tcPr>
            <w:tcW w:type="dxa" w:w="2592"/>
          </w:tcPr>
          <w:p>
            <w:r>
              <w:rPr>
                <w:rFonts w:ascii="Calibri" w:hAnsi="Calibri"/>
                <w:b w:val="0"/>
                <w:i w:val="0"/>
                <w:sz w:val="20"/>
              </w:rPr>
              <w:t>Insider Threat</w:t>
            </w:r>
          </w:p>
        </w:tc>
        <w:tc>
          <w:tcPr>
            <w:tcW w:type="dxa" w:w="1440"/>
          </w:tcPr>
          <w:p>
            <w:r>
              <w:rPr>
                <w:rFonts w:ascii="Calibri" w:hAnsi="Calibri"/>
                <w:b w:val="0"/>
                <w:i w:val="0"/>
                <w:sz w:val="20"/>
              </w:rPr>
              <w:t>3</w:t>
            </w:r>
          </w:p>
        </w:tc>
        <w:tc>
          <w:tcPr>
            <w:tcW w:type="dxa" w:w="1296"/>
          </w:tcPr>
          <w:p>
            <w:r>
              <w:rPr>
                <w:rFonts w:ascii="Calibri" w:hAnsi="Calibri"/>
                <w:b w:val="0"/>
                <w:i w:val="0"/>
                <w:sz w:val="20"/>
              </w:rPr>
              <w:t>4</w:t>
            </w:r>
          </w:p>
        </w:tc>
        <w:tc>
          <w:tcPr>
            <w:tcW w:type="dxa" w:w="1440"/>
          </w:tcPr>
          <w:p>
            <w:r>
              <w:rPr>
                <w:rFonts w:ascii="Calibri" w:hAnsi="Calibri"/>
                <w:b w:val="0"/>
                <w:i w:val="0"/>
                <w:sz w:val="20"/>
              </w:rPr>
              <w:t>0.7</w:t>
            </w:r>
          </w:p>
        </w:tc>
        <w:tc>
          <w:tcPr>
            <w:tcW w:type="dxa" w:w="1584"/>
          </w:tcPr>
          <w:p>
            <w:r>
              <w:rPr>
                <w:rFonts w:ascii="Calibri" w:hAnsi="Calibri"/>
                <w:b w:val="0"/>
                <w:i w:val="0"/>
                <w:sz w:val="20"/>
              </w:rPr>
              <w:t>8.4 – Medium</w:t>
            </w:r>
          </w:p>
        </w:tc>
      </w:tr>
      <w:tr>
        <w:tc>
          <w:tcPr>
            <w:tcW w:type="dxa" w:w="2592"/>
          </w:tcPr>
          <w:p>
            <w:r>
              <w:rPr>
                <w:rFonts w:ascii="Calibri" w:hAnsi="Calibri"/>
                <w:b w:val="0"/>
                <w:i w:val="0"/>
                <w:sz w:val="20"/>
              </w:rPr>
              <w:t>Weak Authentication</w:t>
            </w:r>
          </w:p>
        </w:tc>
        <w:tc>
          <w:tcPr>
            <w:tcW w:type="dxa" w:w="1440"/>
          </w:tcPr>
          <w:p>
            <w:r>
              <w:rPr>
                <w:rFonts w:ascii="Calibri" w:hAnsi="Calibri"/>
                <w:b w:val="0"/>
                <w:i w:val="0"/>
                <w:sz w:val="20"/>
              </w:rPr>
              <w:t>4</w:t>
            </w:r>
          </w:p>
        </w:tc>
        <w:tc>
          <w:tcPr>
            <w:tcW w:type="dxa" w:w="1296"/>
          </w:tcPr>
          <w:p>
            <w:r>
              <w:rPr>
                <w:rFonts w:ascii="Calibri" w:hAnsi="Calibri"/>
                <w:b w:val="0"/>
                <w:i w:val="0"/>
                <w:sz w:val="20"/>
              </w:rPr>
              <w:t>4</w:t>
            </w:r>
          </w:p>
        </w:tc>
        <w:tc>
          <w:tcPr>
            <w:tcW w:type="dxa" w:w="1440"/>
          </w:tcPr>
          <w:p>
            <w:r>
              <w:rPr>
                <w:rFonts w:ascii="Calibri" w:hAnsi="Calibri"/>
                <w:b w:val="0"/>
                <w:i w:val="0"/>
                <w:sz w:val="20"/>
              </w:rPr>
              <w:t>0.7</w:t>
            </w:r>
          </w:p>
        </w:tc>
        <w:tc>
          <w:tcPr>
            <w:tcW w:type="dxa" w:w="1584"/>
          </w:tcPr>
          <w:p>
            <w:r>
              <w:rPr>
                <w:rFonts w:ascii="Calibri" w:hAnsi="Calibri"/>
                <w:b w:val="0"/>
                <w:i w:val="0"/>
                <w:sz w:val="20"/>
              </w:rPr>
              <w:t>11.2 – Medium</w:t>
            </w:r>
          </w:p>
        </w:tc>
      </w:tr>
      <w:tr>
        <w:tc>
          <w:tcPr>
            <w:tcW w:type="dxa" w:w="2592"/>
          </w:tcPr>
          <w:p>
            <w:r>
              <w:rPr>
                <w:rFonts w:ascii="Calibri" w:hAnsi="Calibri"/>
                <w:b w:val="0"/>
                <w:i w:val="0"/>
                <w:sz w:val="20"/>
              </w:rPr>
              <w:t>Supply Chain Attack</w:t>
            </w:r>
          </w:p>
        </w:tc>
        <w:tc>
          <w:tcPr>
            <w:tcW w:type="dxa" w:w="1440"/>
          </w:tcPr>
          <w:p>
            <w:r>
              <w:rPr>
                <w:rFonts w:ascii="Calibri" w:hAnsi="Calibri"/>
                <w:b w:val="0"/>
                <w:i w:val="0"/>
                <w:sz w:val="20"/>
              </w:rPr>
              <w:t>2</w:t>
            </w:r>
          </w:p>
        </w:tc>
        <w:tc>
          <w:tcPr>
            <w:tcW w:type="dxa" w:w="1296"/>
          </w:tcPr>
          <w:p>
            <w:r>
              <w:rPr>
                <w:rFonts w:ascii="Calibri" w:hAnsi="Calibri"/>
                <w:b w:val="0"/>
                <w:i w:val="0"/>
                <w:sz w:val="20"/>
              </w:rPr>
              <w:t>5</w:t>
            </w:r>
          </w:p>
        </w:tc>
        <w:tc>
          <w:tcPr>
            <w:tcW w:type="dxa" w:w="1440"/>
          </w:tcPr>
          <w:p>
            <w:r>
              <w:rPr>
                <w:rFonts w:ascii="Calibri" w:hAnsi="Calibri"/>
                <w:b w:val="0"/>
                <w:i w:val="0"/>
                <w:sz w:val="20"/>
              </w:rPr>
              <w:t>0.6</w:t>
            </w:r>
          </w:p>
        </w:tc>
        <w:tc>
          <w:tcPr>
            <w:tcW w:type="dxa" w:w="1584"/>
          </w:tcPr>
          <w:p>
            <w:r>
              <w:rPr>
                <w:rFonts w:ascii="Calibri" w:hAnsi="Calibri"/>
                <w:b w:val="0"/>
                <w:i w:val="0"/>
                <w:sz w:val="20"/>
              </w:rPr>
              <w:t>6.0 – Low</w:t>
            </w:r>
          </w:p>
        </w:tc>
      </w:tr>
    </w:tbl>
    <w:p/>
    <w:p>
      <w:pPr>
        <w:spacing w:before="280" w:after="120"/>
      </w:pPr>
      <w:r>
        <w:rPr>
          <w:rFonts w:ascii="Calibri" w:hAnsi="Calibri"/>
          <w:b/>
          <w:i w:val="0"/>
          <w:color w:val="003366"/>
          <w:sz w:val="36"/>
        </w:rPr>
        <w:t>6. Risk Mitigation Strategies</w:t>
      </w:r>
    </w:p>
    <w:p>
      <w:pPr>
        <w:spacing w:after="120"/>
      </w:pPr>
      <w:r>
        <w:rPr>
          <w:rFonts w:ascii="Calibri" w:hAnsi="Calibri"/>
          <w:b w:val="0"/>
          <w:i w:val="0"/>
          <w:sz w:val="22"/>
        </w:rPr>
        <w:t>The following mitigation strategies are organized by risk level and mapped to the NIST CSF functions. All recommendations consider SME budget constraints.</w:t>
      </w:r>
    </w:p>
    <w:p>
      <w:pPr>
        <w:spacing w:before="280" w:after="120"/>
      </w:pPr>
      <w:r>
        <w:rPr>
          <w:rFonts w:ascii="Calibri" w:hAnsi="Calibri"/>
          <w:b/>
          <w:i w:val="0"/>
          <w:color w:val="003366"/>
          <w:sz w:val="28"/>
        </w:rPr>
        <w:t>6.1 Technical Controls</w:t>
      </w:r>
    </w:p>
    <w:p>
      <w:pPr>
        <w:spacing w:after="100"/>
        <w:ind w:left="432"/>
      </w:pPr>
      <w:r>
        <w:rPr>
          <w:rFonts w:ascii="Calibri" w:hAnsi="Calibri"/>
          <w:b/>
          <w:i w:val="0"/>
          <w:sz w:val="22"/>
        </w:rPr>
        <w:t xml:space="preserve">Multi-Factor Authentication (MFA): </w:t>
      </w:r>
      <w:r>
        <w:rPr>
          <w:rFonts w:ascii="Calibri" w:hAnsi="Calibri"/>
          <w:b w:val="0"/>
          <w:i w:val="0"/>
          <w:sz w:val="22"/>
        </w:rPr>
        <w:t>Deploy MFA on all internet-facing systems, email, VPN, and cloud services. Use authenticator apps (Google Authenticator, Microsoft Authenticator) rather than SMS. Cost: Free to low-cost with most cloud providers.</w:t>
      </w:r>
    </w:p>
    <w:p>
      <w:pPr>
        <w:spacing w:after="100"/>
        <w:ind w:left="432"/>
      </w:pPr>
      <w:r>
        <w:rPr>
          <w:rFonts w:ascii="Calibri" w:hAnsi="Calibri"/>
          <w:b/>
          <w:i w:val="0"/>
          <w:sz w:val="22"/>
        </w:rPr>
        <w:t xml:space="preserve">Next-Generation Firewall (NGFW): </w:t>
      </w:r>
      <w:r>
        <w:rPr>
          <w:rFonts w:ascii="Calibri" w:hAnsi="Calibri"/>
          <w:b w:val="0"/>
          <w:i w:val="0"/>
          <w:sz w:val="22"/>
        </w:rPr>
        <w:t>Implement stateful inspection firewalls with intrusion prevention capabilities. Configure network segmentation to isolate critical systems. Recommended solutions: Fortinet FortiGate, Sophos XG (SME editions).</w:t>
      </w:r>
    </w:p>
    <w:p>
      <w:pPr>
        <w:spacing w:after="100"/>
        <w:ind w:left="432"/>
      </w:pPr>
      <w:r>
        <w:rPr>
          <w:rFonts w:ascii="Calibri" w:hAnsi="Calibri"/>
          <w:b/>
          <w:i w:val="0"/>
          <w:sz w:val="22"/>
        </w:rPr>
        <w:t xml:space="preserve">Endpoint Detection &amp; Response (EDR): </w:t>
      </w:r>
      <w:r>
        <w:rPr>
          <w:rFonts w:ascii="Calibri" w:hAnsi="Calibri"/>
          <w:b w:val="0"/>
          <w:i w:val="0"/>
          <w:sz w:val="22"/>
        </w:rPr>
        <w:t>Deploy EDR solutions on all endpoints for real-time threat detection and automated response. Cost-effective options: Microsoft Defender for Business, Malwarebytes EDR.</w:t>
      </w:r>
    </w:p>
    <w:p>
      <w:pPr>
        <w:spacing w:after="100"/>
        <w:ind w:left="432"/>
      </w:pPr>
      <w:r>
        <w:rPr>
          <w:rFonts w:ascii="Calibri" w:hAnsi="Calibri"/>
          <w:b/>
          <w:i w:val="0"/>
          <w:sz w:val="22"/>
        </w:rPr>
        <w:t xml:space="preserve">Email Security Gateway: </w:t>
      </w:r>
      <w:r>
        <w:rPr>
          <w:rFonts w:ascii="Calibri" w:hAnsi="Calibri"/>
          <w:b w:val="0"/>
          <w:i w:val="0"/>
          <w:sz w:val="22"/>
        </w:rPr>
        <w:t>Implement email filtering to block phishing, malware, and spam before it reaches users. Configure DMARC, DKIM, and SPF records to prevent email spoofing.</w:t>
      </w:r>
    </w:p>
    <w:p>
      <w:pPr>
        <w:spacing w:after="100"/>
        <w:ind w:left="432"/>
      </w:pPr>
      <w:r>
        <w:rPr>
          <w:rFonts w:ascii="Calibri" w:hAnsi="Calibri"/>
          <w:b/>
          <w:i w:val="0"/>
          <w:sz w:val="22"/>
        </w:rPr>
        <w:t xml:space="preserve">Regular Patch Management: </w:t>
      </w:r>
      <w:r>
        <w:rPr>
          <w:rFonts w:ascii="Calibri" w:hAnsi="Calibri"/>
          <w:b w:val="0"/>
          <w:i w:val="0"/>
          <w:sz w:val="22"/>
        </w:rPr>
        <w:t>Establish a monthly patching cadence with critical patches applied within 72 hours of release. Use automated patch management tools (WSUS, ManageEngine, NinjaRMM).</w:t>
      </w:r>
    </w:p>
    <w:p>
      <w:pPr>
        <w:spacing w:after="100"/>
        <w:ind w:left="432"/>
      </w:pPr>
      <w:r>
        <w:rPr>
          <w:rFonts w:ascii="Calibri" w:hAnsi="Calibri"/>
          <w:b/>
          <w:i w:val="0"/>
          <w:sz w:val="22"/>
        </w:rPr>
        <w:t xml:space="preserve">Data Encryption: </w:t>
      </w:r>
      <w:r>
        <w:rPr>
          <w:rFonts w:ascii="Calibri" w:hAnsi="Calibri"/>
          <w:b w:val="0"/>
          <w:i w:val="0"/>
          <w:sz w:val="22"/>
        </w:rPr>
        <w:t>Encrypt sensitive data at rest (BitLocker, FileVault) and in transit (TLS 1.3). Implement encrypted backups using the 3-2-1 strategy: 3 copies, 2 different media, 1 offsite.</w:t>
      </w:r>
    </w:p>
    <w:p>
      <w:pPr>
        <w:spacing w:before="280" w:after="120"/>
      </w:pPr>
      <w:r>
        <w:rPr>
          <w:rFonts w:ascii="Calibri" w:hAnsi="Calibri"/>
          <w:b/>
          <w:i w:val="0"/>
          <w:color w:val="003366"/>
          <w:sz w:val="28"/>
        </w:rPr>
        <w:t>6.2 Administrative Controls</w:t>
      </w:r>
    </w:p>
    <w:p>
      <w:pPr>
        <w:pStyle w:val="ListBullet"/>
        <w:spacing w:after="80"/>
      </w:pPr>
      <w:r>
        <w:rPr>
          <w:rFonts w:ascii="Calibri" w:hAnsi="Calibri"/>
          <w:b w:val="0"/>
          <w:i w:val="0"/>
          <w:sz w:val="22"/>
        </w:rPr>
        <w:t>Security Awareness Training: Conduct quarterly training sessions covering phishing recognition, password hygiene, and incident reporting. Use simulation platforms (KnowBe4, Proofpoint) for phishing drills.</w:t>
      </w:r>
    </w:p>
    <w:p>
      <w:pPr>
        <w:pStyle w:val="ListBullet"/>
        <w:spacing w:after="80"/>
      </w:pPr>
      <w:r>
        <w:rPr>
          <w:rFonts w:ascii="Calibri" w:hAnsi="Calibri"/>
          <w:b w:val="0"/>
          <w:i w:val="0"/>
          <w:sz w:val="22"/>
        </w:rPr>
        <w:t>Incident Response Plan (IRP): Document a written IRP covering roles, escalation procedures, communication templates, and recovery steps. Test the plan bi-annually with tabletop exercises.</w:t>
      </w:r>
    </w:p>
    <w:p>
      <w:pPr>
        <w:pStyle w:val="ListBullet"/>
        <w:spacing w:after="80"/>
      </w:pPr>
      <w:r>
        <w:rPr>
          <w:rFonts w:ascii="Calibri" w:hAnsi="Calibri"/>
          <w:b w:val="0"/>
          <w:i w:val="0"/>
          <w:sz w:val="22"/>
        </w:rPr>
        <w:t>Access Control Policy: Implement the principle of least privilege — grant users only the access necessary for their role. Conduct quarterly access reviews and immediately revoke access upon employee departure.</w:t>
      </w:r>
    </w:p>
    <w:p>
      <w:pPr>
        <w:pStyle w:val="ListBullet"/>
        <w:spacing w:after="80"/>
      </w:pPr>
      <w:r>
        <w:rPr>
          <w:rFonts w:ascii="Calibri" w:hAnsi="Calibri"/>
          <w:b w:val="0"/>
          <w:i w:val="0"/>
          <w:sz w:val="22"/>
        </w:rPr>
        <w:t>Vendor Risk Management: Assess third-party vendors' security posture before onboarding. Include cybersecurity requirements in vendor contracts and conduct annual reviews.</w:t>
      </w:r>
    </w:p>
    <w:p>
      <w:pPr>
        <w:pStyle w:val="ListBullet"/>
        <w:spacing w:after="80"/>
      </w:pPr>
      <w:r>
        <w:rPr>
          <w:rFonts w:ascii="Calibri" w:hAnsi="Calibri"/>
          <w:b w:val="0"/>
          <w:i w:val="0"/>
          <w:sz w:val="22"/>
        </w:rPr>
        <w:t>Acceptable Use Policy (AUP): Define acceptable use of company systems, devices, and data. Require annual employee acknowledgment.</w:t>
      </w:r>
    </w:p>
    <w:p>
      <w:pPr>
        <w:spacing w:before="280" w:after="120"/>
      </w:pPr>
      <w:r>
        <w:rPr>
          <w:rFonts w:ascii="Calibri" w:hAnsi="Calibri"/>
          <w:b/>
          <w:i w:val="0"/>
          <w:color w:val="003366"/>
          <w:sz w:val="28"/>
        </w:rPr>
        <w:t>6.3 Physical Controls</w:t>
      </w:r>
    </w:p>
    <w:p>
      <w:pPr>
        <w:pStyle w:val="ListBullet"/>
        <w:spacing w:after="80"/>
      </w:pPr>
      <w:r>
        <w:rPr>
          <w:rFonts w:ascii="Calibri" w:hAnsi="Calibri"/>
          <w:b w:val="0"/>
          <w:i w:val="0"/>
          <w:sz w:val="22"/>
        </w:rPr>
        <w:t>Secure physical access to servers and network equipment with locked cabinets and access logs.</w:t>
      </w:r>
    </w:p>
    <w:p>
      <w:pPr>
        <w:pStyle w:val="ListBullet"/>
        <w:spacing w:after="80"/>
      </w:pPr>
      <w:r>
        <w:rPr>
          <w:rFonts w:ascii="Calibri" w:hAnsi="Calibri"/>
          <w:b w:val="0"/>
          <w:i w:val="0"/>
          <w:sz w:val="22"/>
        </w:rPr>
        <w:t>Implement CCTV monitoring in server rooms and data centers.</w:t>
      </w:r>
    </w:p>
    <w:p>
      <w:pPr>
        <w:pStyle w:val="ListBullet"/>
        <w:spacing w:after="80"/>
      </w:pPr>
      <w:r>
        <w:rPr>
          <w:rFonts w:ascii="Calibri" w:hAnsi="Calibri"/>
          <w:b w:val="0"/>
          <w:i w:val="0"/>
          <w:sz w:val="22"/>
        </w:rPr>
        <w:t>Use screen locks and clear-desk policies to prevent unauthorized data access.</w:t>
      </w:r>
    </w:p>
    <w:p>
      <w:pPr>
        <w:pStyle w:val="ListBullet"/>
        <w:spacing w:after="80"/>
      </w:pPr>
      <w:r>
        <w:rPr>
          <w:rFonts w:ascii="Calibri" w:hAnsi="Calibri"/>
          <w:b w:val="0"/>
          <w:i w:val="0"/>
          <w:sz w:val="22"/>
        </w:rPr>
        <w:t>Establish a visitor management policy for external parties accessing company premises.</w:t>
      </w:r>
    </w:p>
    <w:p>
      <w:pPr>
        <w:spacing w:before="280" w:after="120"/>
      </w:pPr>
      <w:r>
        <w:rPr>
          <w:rFonts w:ascii="Calibri" w:hAnsi="Calibri"/>
          <w:b/>
          <w:i w:val="0"/>
          <w:color w:val="003366"/>
          <w:sz w:val="36"/>
        </w:rPr>
        <w:t>7. Case Studies</w:t>
      </w:r>
    </w:p>
    <w:p>
      <w:pPr>
        <w:spacing w:after="120"/>
      </w:pPr>
      <w:r>
        <w:rPr>
          <w:rFonts w:ascii="Calibri" w:hAnsi="Calibri"/>
          <w:b w:val="0"/>
          <w:i w:val="0"/>
          <w:sz w:val="22"/>
        </w:rPr>
        <w:t>The framework was validated against three SME archetypes representing common business models, varying risk profiles, and different industries.</w:t>
      </w:r>
    </w:p>
    <w:p>
      <w:pPr>
        <w:spacing w:before="280" w:after="120"/>
      </w:pPr>
      <w:r>
        <w:rPr>
          <w:rFonts w:ascii="Calibri" w:hAnsi="Calibri"/>
          <w:b/>
          <w:i w:val="0"/>
          <w:color w:val="003366"/>
          <w:sz w:val="28"/>
        </w:rPr>
        <w:t>7.1 Case Study 1: Retail E-Commerce Business (25 Employees)</w:t>
      </w:r>
    </w:p>
    <w:p>
      <w:pPr>
        <w:spacing w:after="120"/>
      </w:pPr>
      <w:r>
        <w:rPr>
          <w:rFonts w:ascii="Calibri" w:hAnsi="Calibri"/>
          <w:b w:val="0"/>
          <w:i w:val="0"/>
          <w:sz w:val="22"/>
        </w:rPr>
        <w:t>Background: An online retail business processing credit card transactions and storing customer data on cloud infrastructure. Primary concern: PCI-DSS compliance and customer data protection.</w:t>
      </w:r>
    </w:p>
    <w:p>
      <w:pPr>
        <w:spacing w:after="120"/>
      </w:pPr>
      <w:r>
        <w:rPr>
          <w:rFonts w:ascii="Calibri" w:hAnsi="Calibri"/>
          <w:b w:val="0"/>
          <w:i w:val="0"/>
          <w:sz w:val="22"/>
        </w:rPr>
        <w:t>Risk Assessment Findings:</w:t>
      </w:r>
    </w:p>
    <w:p>
      <w:pPr>
        <w:pStyle w:val="ListBullet"/>
        <w:spacing w:after="80"/>
      </w:pPr>
      <w:r>
        <w:rPr>
          <w:rFonts w:ascii="Calibri" w:hAnsi="Calibri"/>
          <w:b w:val="0"/>
          <w:i w:val="0"/>
          <w:sz w:val="22"/>
        </w:rPr>
        <w:t>Critical: Phishing susceptibility — no security training, 3 employees clicked test phishing links.</w:t>
      </w:r>
    </w:p>
    <w:p>
      <w:pPr>
        <w:pStyle w:val="ListBullet"/>
        <w:spacing w:after="80"/>
      </w:pPr>
      <w:r>
        <w:rPr>
          <w:rFonts w:ascii="Calibri" w:hAnsi="Calibri"/>
          <w:b w:val="0"/>
          <w:i w:val="0"/>
          <w:sz w:val="22"/>
        </w:rPr>
        <w:t>High: Unencrypted customer database backups stored locally.</w:t>
      </w:r>
    </w:p>
    <w:p>
      <w:pPr>
        <w:pStyle w:val="ListBullet"/>
        <w:spacing w:after="80"/>
      </w:pPr>
      <w:r>
        <w:rPr>
          <w:rFonts w:ascii="Calibri" w:hAnsi="Calibri"/>
          <w:b w:val="0"/>
          <w:i w:val="0"/>
          <w:sz w:val="22"/>
        </w:rPr>
        <w:t>Medium: No MFA on admin accounts; shared passwords for cloud services.</w:t>
      </w:r>
    </w:p>
    <w:p>
      <w:pPr>
        <w:pStyle w:val="ListBullet"/>
        <w:spacing w:after="80"/>
      </w:pPr>
      <w:r>
        <w:rPr>
          <w:rFonts w:ascii="Calibri" w:hAnsi="Calibri"/>
          <w:b w:val="0"/>
          <w:i w:val="0"/>
          <w:sz w:val="22"/>
        </w:rPr>
        <w:t>Low: Physical server access unrestricted to all employees.</w:t>
      </w:r>
    </w:p>
    <w:p>
      <w:pPr>
        <w:spacing w:after="120"/>
      </w:pPr>
      <w:r>
        <w:rPr>
          <w:rFonts w:ascii="Calibri" w:hAnsi="Calibri"/>
          <w:b w:val="0"/>
          <w:i w:val="0"/>
          <w:sz w:val="22"/>
        </w:rPr>
        <w:t>Implemented Mitigations:</w:t>
      </w:r>
    </w:p>
    <w:p>
      <w:pPr>
        <w:pStyle w:val="ListBullet"/>
        <w:spacing w:after="80"/>
      </w:pPr>
      <w:r>
        <w:rPr>
          <w:rFonts w:ascii="Calibri" w:hAnsi="Calibri"/>
          <w:b w:val="0"/>
          <w:i w:val="0"/>
          <w:sz w:val="22"/>
        </w:rPr>
        <w:t>Deployed Microsoft 365 Defender with phishing simulation training — reduced click rate by 78% in 3 months.</w:t>
      </w:r>
    </w:p>
    <w:p>
      <w:pPr>
        <w:pStyle w:val="ListBullet"/>
        <w:spacing w:after="80"/>
      </w:pPr>
      <w:r>
        <w:rPr>
          <w:rFonts w:ascii="Calibri" w:hAnsi="Calibri"/>
          <w:b w:val="0"/>
          <w:i w:val="0"/>
          <w:sz w:val="22"/>
        </w:rPr>
        <w:t>Migrated backups to encrypted AWS S3 with versioning and immutable backup policies.</w:t>
      </w:r>
    </w:p>
    <w:p>
      <w:pPr>
        <w:pStyle w:val="ListBullet"/>
        <w:spacing w:after="80"/>
      </w:pPr>
      <w:r>
        <w:rPr>
          <w:rFonts w:ascii="Calibri" w:hAnsi="Calibri"/>
          <w:b w:val="0"/>
          <w:i w:val="0"/>
          <w:sz w:val="22"/>
        </w:rPr>
        <w:t>Enforced MFA on all cloud accounts; eliminated shared credentials.</w:t>
      </w:r>
    </w:p>
    <w:p>
      <w:pPr>
        <w:pStyle w:val="ListBullet"/>
        <w:spacing w:after="80"/>
      </w:pPr>
      <w:r>
        <w:rPr>
          <w:rFonts w:ascii="Calibri" w:hAnsi="Calibri"/>
          <w:b w:val="0"/>
          <w:i w:val="0"/>
          <w:sz w:val="22"/>
        </w:rPr>
        <w:t>Achieved PCI-DSS SAQ-A compliance within 60 days.</w:t>
      </w:r>
    </w:p>
    <w:p>
      <w:pPr>
        <w:spacing w:before="280" w:after="120"/>
      </w:pPr>
      <w:r>
        <w:rPr>
          <w:rFonts w:ascii="Calibri" w:hAnsi="Calibri"/>
          <w:b/>
          <w:i w:val="0"/>
          <w:color w:val="003366"/>
          <w:sz w:val="28"/>
        </w:rPr>
        <w:t>7.2 Case Study 2: Healthcare Clinic (40 Employees)</w:t>
      </w:r>
    </w:p>
    <w:p>
      <w:pPr>
        <w:spacing w:after="120"/>
      </w:pPr>
      <w:r>
        <w:rPr>
          <w:rFonts w:ascii="Calibri" w:hAnsi="Calibri"/>
          <w:b w:val="0"/>
          <w:i w:val="0"/>
          <w:sz w:val="22"/>
        </w:rPr>
        <w:t>Background: A private medical clinic handling patient health records and insurance claims. Primary concern: HIPAA compliance and patient data confidentiality.</w:t>
      </w:r>
    </w:p>
    <w:p>
      <w:pPr>
        <w:spacing w:after="120"/>
      </w:pPr>
      <w:r>
        <w:rPr>
          <w:rFonts w:ascii="Calibri" w:hAnsi="Calibri"/>
          <w:b w:val="0"/>
          <w:i w:val="0"/>
          <w:sz w:val="22"/>
        </w:rPr>
        <w:t>Risk Assessment Findings:</w:t>
      </w:r>
    </w:p>
    <w:p>
      <w:pPr>
        <w:pStyle w:val="ListBullet"/>
        <w:spacing w:after="80"/>
      </w:pPr>
      <w:r>
        <w:rPr>
          <w:rFonts w:ascii="Calibri" w:hAnsi="Calibri"/>
          <w:b w:val="0"/>
          <w:i w:val="0"/>
          <w:sz w:val="22"/>
        </w:rPr>
        <w:t>Critical: Electronic health records (EHR) system running on Windows 7 — end-of-life OS with 47 known critical CVEs.</w:t>
      </w:r>
    </w:p>
    <w:p>
      <w:pPr>
        <w:pStyle w:val="ListBullet"/>
        <w:spacing w:after="80"/>
      </w:pPr>
      <w:r>
        <w:rPr>
          <w:rFonts w:ascii="Calibri" w:hAnsi="Calibri"/>
          <w:b w:val="0"/>
          <w:i w:val="0"/>
          <w:sz w:val="22"/>
        </w:rPr>
        <w:t>High: Ransomware risk — no tested backup recovery procedure; last successful restore test was 18 months prior.</w:t>
      </w:r>
    </w:p>
    <w:p>
      <w:pPr>
        <w:pStyle w:val="ListBullet"/>
        <w:spacing w:after="80"/>
      </w:pPr>
      <w:r>
        <w:rPr>
          <w:rFonts w:ascii="Calibri" w:hAnsi="Calibri"/>
          <w:b w:val="0"/>
          <w:i w:val="0"/>
          <w:sz w:val="22"/>
        </w:rPr>
        <w:t>High: Staff sharing EHR login credentials across departments.</w:t>
      </w:r>
    </w:p>
    <w:p>
      <w:pPr>
        <w:pStyle w:val="ListBullet"/>
        <w:spacing w:after="80"/>
      </w:pPr>
      <w:r>
        <w:rPr>
          <w:rFonts w:ascii="Calibri" w:hAnsi="Calibri"/>
          <w:b w:val="0"/>
          <w:i w:val="0"/>
          <w:sz w:val="22"/>
        </w:rPr>
        <w:t>Medium: No network segmentation between clinical and administrative systems.</w:t>
      </w:r>
    </w:p>
    <w:p>
      <w:pPr>
        <w:spacing w:after="120"/>
      </w:pPr>
      <w:r>
        <w:rPr>
          <w:rFonts w:ascii="Calibri" w:hAnsi="Calibri"/>
          <w:b w:val="0"/>
          <w:i w:val="0"/>
          <w:sz w:val="22"/>
        </w:rPr>
        <w:t>Implemented Mitigations:</w:t>
      </w:r>
    </w:p>
    <w:p>
      <w:pPr>
        <w:pStyle w:val="ListBullet"/>
        <w:spacing w:after="80"/>
      </w:pPr>
      <w:r>
        <w:rPr>
          <w:rFonts w:ascii="Calibri" w:hAnsi="Calibri"/>
          <w:b w:val="0"/>
          <w:i w:val="0"/>
          <w:sz w:val="22"/>
        </w:rPr>
        <w:t>EHR system migrated to a HIPAA-compliant cloud solution with built-in audit logging.</w:t>
      </w:r>
    </w:p>
    <w:p>
      <w:pPr>
        <w:pStyle w:val="ListBullet"/>
        <w:spacing w:after="80"/>
      </w:pPr>
      <w:r>
        <w:rPr>
          <w:rFonts w:ascii="Calibri" w:hAnsi="Calibri"/>
          <w:b w:val="0"/>
          <w:i w:val="0"/>
          <w:sz w:val="22"/>
        </w:rPr>
        <w:t>Implemented automated daily backups with weekly recovery testing — RTO reduced from 4 days to 6 hours.</w:t>
      </w:r>
    </w:p>
    <w:p>
      <w:pPr>
        <w:pStyle w:val="ListBullet"/>
        <w:spacing w:after="80"/>
      </w:pPr>
      <w:r>
        <w:rPr>
          <w:rFonts w:ascii="Calibri" w:hAnsi="Calibri"/>
          <w:b w:val="0"/>
          <w:i w:val="0"/>
          <w:sz w:val="22"/>
        </w:rPr>
        <w:t>Assigned individual user accounts with role-based access control (RBAC).</w:t>
      </w:r>
    </w:p>
    <w:p>
      <w:pPr>
        <w:pStyle w:val="ListBullet"/>
        <w:spacing w:after="80"/>
      </w:pPr>
      <w:r>
        <w:rPr>
          <w:rFonts w:ascii="Calibri" w:hAnsi="Calibri"/>
          <w:b w:val="0"/>
          <w:i w:val="0"/>
          <w:sz w:val="22"/>
        </w:rPr>
        <w:t>Achieved HIPAA Security Rule compliance; implemented Business Associate Agreements with all vendors.</w:t>
      </w:r>
    </w:p>
    <w:p>
      <w:pPr>
        <w:spacing w:before="280" w:after="120"/>
      </w:pPr>
      <w:r>
        <w:rPr>
          <w:rFonts w:ascii="Calibri" w:hAnsi="Calibri"/>
          <w:b/>
          <w:i w:val="0"/>
          <w:color w:val="003366"/>
          <w:sz w:val="28"/>
        </w:rPr>
        <w:t>7.3 Case Study 3: Accounting Firm (15 Employees)</w:t>
      </w:r>
    </w:p>
    <w:p>
      <w:pPr>
        <w:spacing w:after="120"/>
      </w:pPr>
      <w:r>
        <w:rPr>
          <w:rFonts w:ascii="Calibri" w:hAnsi="Calibri"/>
          <w:b w:val="0"/>
          <w:i w:val="0"/>
          <w:sz w:val="22"/>
        </w:rPr>
        <w:t>Background: A small CPA firm managing financial records for 200+ client businesses. Primary concern: protecting confidential financial data and client trust.</w:t>
      </w:r>
    </w:p>
    <w:p>
      <w:pPr>
        <w:spacing w:after="120"/>
      </w:pPr>
      <w:r>
        <w:rPr>
          <w:rFonts w:ascii="Calibri" w:hAnsi="Calibri"/>
          <w:b w:val="0"/>
          <w:i w:val="0"/>
          <w:sz w:val="22"/>
        </w:rPr>
        <w:t>Risk Assessment Findings:</w:t>
      </w:r>
    </w:p>
    <w:p>
      <w:pPr>
        <w:pStyle w:val="ListBullet"/>
        <w:spacing w:after="80"/>
      </w:pPr>
      <w:r>
        <w:rPr>
          <w:rFonts w:ascii="Calibri" w:hAnsi="Calibri"/>
          <w:b w:val="0"/>
          <w:i w:val="0"/>
          <w:sz w:val="22"/>
        </w:rPr>
        <w:t>Critical: Business Email Compromise (BEC) risk — staff authorized wire transfers via email without verification.</w:t>
      </w:r>
    </w:p>
    <w:p>
      <w:pPr>
        <w:pStyle w:val="ListBullet"/>
        <w:spacing w:after="80"/>
      </w:pPr>
      <w:r>
        <w:rPr>
          <w:rFonts w:ascii="Calibri" w:hAnsi="Calibri"/>
          <w:b w:val="0"/>
          <w:i w:val="0"/>
          <w:sz w:val="22"/>
        </w:rPr>
        <w:t>High: Client financial documents shared via unencrypted email attachments.</w:t>
      </w:r>
    </w:p>
    <w:p>
      <w:pPr>
        <w:pStyle w:val="ListBullet"/>
        <w:spacing w:after="80"/>
      </w:pPr>
      <w:r>
        <w:rPr>
          <w:rFonts w:ascii="Calibri" w:hAnsi="Calibri"/>
          <w:b w:val="0"/>
          <w:i w:val="0"/>
          <w:sz w:val="22"/>
        </w:rPr>
        <w:t>Medium: No formal offboarding process — 2 former employees retained active credentials.</w:t>
      </w:r>
    </w:p>
    <w:p>
      <w:pPr>
        <w:pStyle w:val="ListBullet"/>
        <w:spacing w:after="80"/>
      </w:pPr>
      <w:r>
        <w:rPr>
          <w:rFonts w:ascii="Calibri" w:hAnsi="Calibri"/>
          <w:b w:val="0"/>
          <w:i w:val="0"/>
          <w:sz w:val="22"/>
        </w:rPr>
        <w:t>Medium: Remote desktop (RDP) directly exposed to the internet on port 3389.</w:t>
      </w:r>
    </w:p>
    <w:p>
      <w:pPr>
        <w:spacing w:after="120"/>
      </w:pPr>
      <w:r>
        <w:rPr>
          <w:rFonts w:ascii="Calibri" w:hAnsi="Calibri"/>
          <w:b w:val="0"/>
          <w:i w:val="0"/>
          <w:sz w:val="22"/>
        </w:rPr>
        <w:t>Implemented Mitigations:</w:t>
      </w:r>
    </w:p>
    <w:p>
      <w:pPr>
        <w:pStyle w:val="ListBullet"/>
        <w:spacing w:after="80"/>
      </w:pPr>
      <w:r>
        <w:rPr>
          <w:rFonts w:ascii="Calibri" w:hAnsi="Calibri"/>
          <w:b w:val="0"/>
          <w:i w:val="0"/>
          <w:sz w:val="22"/>
        </w:rPr>
        <w:t>Implemented dual-authorization for all wire transfers; deployed anti-BEC email filtering.</w:t>
      </w:r>
    </w:p>
    <w:p>
      <w:pPr>
        <w:pStyle w:val="ListBullet"/>
        <w:spacing w:after="80"/>
      </w:pPr>
      <w:r>
        <w:rPr>
          <w:rFonts w:ascii="Calibri" w:hAnsi="Calibri"/>
          <w:b w:val="0"/>
          <w:i w:val="0"/>
          <w:sz w:val="22"/>
        </w:rPr>
        <w:t>Deployed secure client portal (ShareFile) replacing email for document exchange.</w:t>
      </w:r>
    </w:p>
    <w:p>
      <w:pPr>
        <w:pStyle w:val="ListBullet"/>
        <w:spacing w:after="80"/>
      </w:pPr>
      <w:r>
        <w:rPr>
          <w:rFonts w:ascii="Calibri" w:hAnsi="Calibri"/>
          <w:b w:val="0"/>
          <w:i w:val="0"/>
          <w:sz w:val="22"/>
        </w:rPr>
        <w:t>Conducted access audit; removed all orphaned accounts; implemented automated offboarding checklist.</w:t>
      </w:r>
    </w:p>
    <w:p>
      <w:pPr>
        <w:pStyle w:val="ListBullet"/>
        <w:spacing w:after="80"/>
      </w:pPr>
      <w:r>
        <w:rPr>
          <w:rFonts w:ascii="Calibri" w:hAnsi="Calibri"/>
          <w:b w:val="0"/>
          <w:i w:val="0"/>
          <w:sz w:val="22"/>
        </w:rPr>
        <w:t>Moved RDP behind VPN with MFA; closed direct RDP exposure — eliminated associated CVEs.</w:t>
      </w:r>
    </w:p>
    <w:p>
      <w:pPr>
        <w:spacing w:before="280" w:after="120"/>
      </w:pPr>
      <w:r>
        <w:rPr>
          <w:rFonts w:ascii="Calibri" w:hAnsi="Calibri"/>
          <w:b/>
          <w:i w:val="0"/>
          <w:color w:val="003366"/>
          <w:sz w:val="36"/>
        </w:rPr>
        <w:t>8. Best Practices for SME Cybersecurity</w:t>
      </w:r>
    </w:p>
    <w:p>
      <w:pPr>
        <w:spacing w:after="120"/>
      </w:pPr>
      <w:r>
        <w:rPr>
          <w:rFonts w:ascii="Calibri" w:hAnsi="Calibri"/>
          <w:b w:val="0"/>
          <w:i w:val="0"/>
          <w:sz w:val="22"/>
        </w:rPr>
        <w:t>Based on the framework development and case study findings, the following best practices are recommended for all SMEs regardless of size or industry:</w:t>
      </w:r>
    </w:p>
    <w:p>
      <w:pPr>
        <w:spacing w:after="100"/>
        <w:ind w:left="432"/>
      </w:pPr>
      <w:r>
        <w:rPr>
          <w:rFonts w:ascii="Calibri" w:hAnsi="Calibri"/>
          <w:b/>
          <w:i w:val="0"/>
          <w:sz w:val="22"/>
        </w:rPr>
        <w:t xml:space="preserve">Adopt a Risk-Based Approach: </w:t>
      </w:r>
      <w:r>
        <w:rPr>
          <w:rFonts w:ascii="Calibri" w:hAnsi="Calibri"/>
          <w:b w:val="0"/>
          <w:i w:val="0"/>
          <w:sz w:val="22"/>
        </w:rPr>
        <w:t>Not all risks require equal attention. Use the risk evaluation metric to prioritize investments where they will have the greatest impact. Focus first on Critical and High risks.</w:t>
      </w:r>
    </w:p>
    <w:p>
      <w:pPr>
        <w:spacing w:after="100"/>
        <w:ind w:left="432"/>
      </w:pPr>
      <w:r>
        <w:rPr>
          <w:rFonts w:ascii="Calibri" w:hAnsi="Calibri"/>
          <w:b/>
          <w:i w:val="0"/>
          <w:sz w:val="22"/>
        </w:rPr>
        <w:t xml:space="preserve">Build a Security Culture: </w:t>
      </w:r>
      <w:r>
        <w:rPr>
          <w:rFonts w:ascii="Calibri" w:hAnsi="Calibri"/>
          <w:b w:val="0"/>
          <w:i w:val="0"/>
          <w:sz w:val="22"/>
        </w:rPr>
        <w:t>Technology alone cannot prevent breaches. Regular training, clear policies, and management commitment are essential. Employees are both the greatest vulnerability and the first line of defense.</w:t>
      </w:r>
    </w:p>
    <w:p>
      <w:pPr>
        <w:spacing w:after="100"/>
        <w:ind w:left="432"/>
      </w:pPr>
      <w:r>
        <w:rPr>
          <w:rFonts w:ascii="Calibri" w:hAnsi="Calibri"/>
          <w:b/>
          <w:i w:val="0"/>
          <w:sz w:val="22"/>
        </w:rPr>
        <w:t xml:space="preserve">Test Your Defenses: </w:t>
      </w:r>
      <w:r>
        <w:rPr>
          <w:rFonts w:ascii="Calibri" w:hAnsi="Calibri"/>
          <w:b w:val="0"/>
          <w:i w:val="0"/>
          <w:sz w:val="22"/>
        </w:rPr>
        <w:t>Conduct annual penetration tests or vulnerability assessments. Test backup and disaster recovery procedures quarterly. Run phishing simulations monthly.</w:t>
      </w:r>
    </w:p>
    <w:p>
      <w:pPr>
        <w:spacing w:after="100"/>
        <w:ind w:left="432"/>
      </w:pPr>
      <w:r>
        <w:rPr>
          <w:rFonts w:ascii="Calibri" w:hAnsi="Calibri"/>
          <w:b/>
          <w:i w:val="0"/>
          <w:sz w:val="22"/>
        </w:rPr>
        <w:t xml:space="preserve">Plan for Incidents: </w:t>
      </w:r>
      <w:r>
        <w:rPr>
          <w:rFonts w:ascii="Calibri" w:hAnsi="Calibri"/>
          <w:b w:val="0"/>
          <w:i w:val="0"/>
          <w:sz w:val="22"/>
        </w:rPr>
        <w:t>Assume a breach will occur and prepare accordingly. A well-practiced incident response plan dramatically reduces breach costs and recovery time.</w:t>
      </w:r>
    </w:p>
    <w:p>
      <w:pPr>
        <w:spacing w:after="100"/>
        <w:ind w:left="432"/>
      </w:pPr>
      <w:r>
        <w:rPr>
          <w:rFonts w:ascii="Calibri" w:hAnsi="Calibri"/>
          <w:b/>
          <w:i w:val="0"/>
          <w:sz w:val="22"/>
        </w:rPr>
        <w:t xml:space="preserve">Know Your Compliance Obligations: </w:t>
      </w:r>
      <w:r>
        <w:rPr>
          <w:rFonts w:ascii="Calibri" w:hAnsi="Calibri"/>
          <w:b w:val="0"/>
          <w:i w:val="0"/>
          <w:sz w:val="22"/>
        </w:rPr>
        <w:t>Understand applicable regulations (GDPR, HIPAA, PCI-DSS, CCPA). Compliance frameworks provide a useful security baseline and protect against legal liability.</w:t>
      </w:r>
    </w:p>
    <w:p>
      <w:pPr>
        <w:spacing w:after="100"/>
        <w:ind w:left="432"/>
      </w:pPr>
      <w:r>
        <w:rPr>
          <w:rFonts w:ascii="Calibri" w:hAnsi="Calibri"/>
          <w:b/>
          <w:i w:val="0"/>
          <w:sz w:val="22"/>
        </w:rPr>
        <w:t xml:space="preserve">Leverage Cloud Security: </w:t>
      </w:r>
      <w:r>
        <w:rPr>
          <w:rFonts w:ascii="Calibri" w:hAnsi="Calibri"/>
          <w:b w:val="0"/>
          <w:i w:val="0"/>
          <w:sz w:val="22"/>
        </w:rPr>
        <w:t>Cloud providers (AWS, Azure, Microsoft 365) offer enterprise-grade security features at SME-accessible prices. Enable all built-in security features and follow provider best practices.</w:t>
      </w:r>
    </w:p>
    <w:p>
      <w:pPr>
        <w:spacing w:after="100"/>
        <w:ind w:left="432"/>
      </w:pPr>
      <w:r>
        <w:rPr>
          <w:rFonts w:ascii="Calibri" w:hAnsi="Calibri"/>
          <w:b/>
          <w:i w:val="0"/>
          <w:sz w:val="22"/>
        </w:rPr>
        <w:t xml:space="preserve">Engage Managed Security Services: </w:t>
      </w:r>
      <w:r>
        <w:rPr>
          <w:rFonts w:ascii="Calibri" w:hAnsi="Calibri"/>
          <w:b w:val="0"/>
          <w:i w:val="0"/>
          <w:sz w:val="22"/>
        </w:rPr>
        <w:t>Consider a Managed Security Service Provider (MSSP) for 24/7 monitoring if internal IT resources are limited. This provides expert coverage at a fraction of hiring cost.</w:t>
      </w:r>
    </w:p>
    <w:p>
      <w:pPr>
        <w:spacing w:after="100"/>
        <w:ind w:left="432"/>
      </w:pPr>
      <w:r>
        <w:rPr>
          <w:rFonts w:ascii="Calibri" w:hAnsi="Calibri"/>
          <w:b/>
          <w:i w:val="0"/>
          <w:sz w:val="22"/>
        </w:rPr>
        <w:t xml:space="preserve">Review and Update Regularly: </w:t>
      </w:r>
      <w:r>
        <w:rPr>
          <w:rFonts w:ascii="Calibri" w:hAnsi="Calibri"/>
          <w:b w:val="0"/>
          <w:i w:val="0"/>
          <w:sz w:val="22"/>
        </w:rPr>
        <w:t>The threat landscape evolves continuously. Review the risk assessment annually and after any significant business change, security incident, or major technology deployment.</w:t>
      </w:r>
    </w:p>
    <w:p>
      <w:pPr>
        <w:spacing w:before="280" w:after="120"/>
      </w:pPr>
      <w:r>
        <w:rPr>
          <w:rFonts w:ascii="Calibri" w:hAnsi="Calibri"/>
          <w:b/>
          <w:i w:val="0"/>
          <w:color w:val="003366"/>
          <w:sz w:val="36"/>
        </w:rPr>
        <w:t>9. Conclusion</w:t>
      </w:r>
    </w:p>
    <w:p>
      <w:pPr>
        <w:spacing w:after="120"/>
      </w:pPr>
      <w:r>
        <w:rPr>
          <w:rFonts w:ascii="Calibri" w:hAnsi="Calibri"/>
          <w:b w:val="0"/>
          <w:i w:val="0"/>
          <w:sz w:val="22"/>
        </w:rPr>
        <w:t>This project has successfully developed and validated a Cybersecurity Risk Assessment Framework specifically designed for Small and Medium Enterprises. The framework addresses the unique challenges SMEs face — limited resources, lack of dedicated security staff, and growing threat exposure — by providing a practical, scalable, and cost-effective approach to cybersecurity risk management.</w:t>
      </w:r>
    </w:p>
    <w:p>
      <w:pPr>
        <w:spacing w:after="120"/>
      </w:pPr>
      <w:r>
        <w:rPr>
          <w:rFonts w:ascii="Calibri" w:hAnsi="Calibri"/>
          <w:b w:val="0"/>
          <w:i w:val="0"/>
          <w:sz w:val="22"/>
        </w:rPr>
        <w:t>By adapting the NIST Cybersecurity Framework and introducing a quantitative risk evaluation metric, the framework enables SME owners and IT managers to objectively prioritize threats and allocate security investments rationally. The three case studies demonstrated that even organizations with minimal cybersecurity maturity can achieve significant risk reduction within a 30–90 day implementation timeline.</w:t>
      </w:r>
    </w:p>
    <w:p>
      <w:pPr>
        <w:spacing w:after="120"/>
      </w:pPr>
      <w:r>
        <w:rPr>
          <w:rFonts w:ascii="Calibri" w:hAnsi="Calibri"/>
          <w:b w:val="0"/>
          <w:i w:val="0"/>
          <w:sz w:val="22"/>
        </w:rPr>
        <w:t>Cybersecurity is not a one-time project but an ongoing commitment. The best practices outlined in this report provide a roadmap for building and maintaining a resilient security posture over time. SMEs that adopt this framework will be better positioned to protect their data, their customers, and their business continuity in an increasingly hostile digital environment.</w:t>
      </w:r>
    </w:p>
    <w:p>
      <w:pPr>
        <w:spacing w:before="280" w:after="120"/>
      </w:pPr>
      <w:r>
        <w:rPr>
          <w:rFonts w:ascii="Calibri" w:hAnsi="Calibri"/>
          <w:b/>
          <w:i w:val="0"/>
          <w:color w:val="003366"/>
          <w:sz w:val="36"/>
        </w:rPr>
        <w:t>10. References</w:t>
      </w:r>
    </w:p>
    <w:p>
      <w:pPr>
        <w:spacing w:after="80"/>
        <w:ind w:left="432" w:hanging="432"/>
      </w:pPr>
      <w:r>
        <w:rPr>
          <w:rFonts w:ascii="Calibri" w:hAnsi="Calibri"/>
          <w:b w:val="0"/>
          <w:i w:val="0"/>
          <w:sz w:val="20"/>
        </w:rPr>
        <w:t>NIST. (2024). Cybersecurity Framework (CSF) 2.0. National Institute of Standards and Technology. https://www.nist.gov/cyberframework</w:t>
      </w:r>
    </w:p>
    <w:p>
      <w:pPr>
        <w:spacing w:after="80"/>
        <w:ind w:left="432" w:hanging="432"/>
      </w:pPr>
      <w:r>
        <w:rPr>
          <w:rFonts w:ascii="Calibri" w:hAnsi="Calibri"/>
          <w:b w:val="0"/>
          <w:i w:val="0"/>
          <w:sz w:val="20"/>
        </w:rPr>
        <w:t>Verizon. (2024). 2024 Data Breach Investigations Report (DBIR). Verizon Enterprise Solutions.</w:t>
      </w:r>
    </w:p>
    <w:p>
      <w:pPr>
        <w:spacing w:after="80"/>
        <w:ind w:left="432" w:hanging="432"/>
      </w:pPr>
      <w:r>
        <w:rPr>
          <w:rFonts w:ascii="Calibri" w:hAnsi="Calibri"/>
          <w:b w:val="0"/>
          <w:i w:val="0"/>
          <w:sz w:val="20"/>
        </w:rPr>
        <w:t>CISA. (2023). Cybersecurity Best Practices for Small Businesses. Cybersecurity and Infrastructure Security Agency. https://www.cisa.gov</w:t>
      </w:r>
    </w:p>
    <w:p>
      <w:pPr>
        <w:spacing w:after="80"/>
        <w:ind w:left="432" w:hanging="432"/>
      </w:pPr>
      <w:r>
        <w:rPr>
          <w:rFonts w:ascii="Calibri" w:hAnsi="Calibri"/>
          <w:b w:val="0"/>
          <w:i w:val="0"/>
          <w:sz w:val="20"/>
        </w:rPr>
        <w:t>IBM Security. (2024). Cost of a Data Breach Report 2024. IBM Corporation.</w:t>
      </w:r>
    </w:p>
    <w:p>
      <w:pPr>
        <w:spacing w:after="80"/>
        <w:ind w:left="432" w:hanging="432"/>
      </w:pPr>
      <w:r>
        <w:rPr>
          <w:rFonts w:ascii="Calibri" w:hAnsi="Calibri"/>
          <w:b w:val="0"/>
          <w:i w:val="0"/>
          <w:sz w:val="20"/>
        </w:rPr>
        <w:t>ENISA. (2023). Threat Landscape for SMEs. European Union Agency for Cybersecurity.</w:t>
      </w:r>
    </w:p>
    <w:p>
      <w:pPr>
        <w:spacing w:after="80"/>
        <w:ind w:left="432" w:hanging="432"/>
      </w:pPr>
      <w:r>
        <w:rPr>
          <w:rFonts w:ascii="Calibri" w:hAnsi="Calibri"/>
          <w:b w:val="0"/>
          <w:i w:val="0"/>
          <w:sz w:val="20"/>
        </w:rPr>
        <w:t>CIS Controls. (2024). CIS Controls v8.1. Center for Internet Security. https://www.cisecurity.org</w:t>
      </w:r>
    </w:p>
    <w:p>
      <w:pPr>
        <w:spacing w:after="80"/>
        <w:ind w:left="432" w:hanging="432"/>
      </w:pPr>
      <w:r>
        <w:rPr>
          <w:rFonts w:ascii="Calibri" w:hAnsi="Calibri"/>
          <w:b w:val="0"/>
          <w:i w:val="0"/>
          <w:sz w:val="20"/>
        </w:rPr>
        <w:t>SANS Institute. (2023). Security Awareness Planning Kit. SANS Security Awareness.</w:t>
      </w:r>
    </w:p>
    <w:p>
      <w:pPr>
        <w:spacing w:after="80"/>
        <w:ind w:left="432" w:hanging="432"/>
      </w:pPr>
      <w:r>
        <w:rPr>
          <w:rFonts w:ascii="Calibri" w:hAnsi="Calibri"/>
          <w:b w:val="0"/>
          <w:i w:val="0"/>
          <w:sz w:val="20"/>
        </w:rPr>
        <w:t>Microsoft. (2024). Microsoft Security Intelligence Report. Microsoft Corporation.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